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C881E1">
      <w:pPr>
        <w:pageBreakBefore w:val="0"/>
        <w:kinsoku/>
        <w:wordWrap/>
        <w:topLinePunct w:val="0"/>
        <w:autoSpaceDE/>
        <w:autoSpaceDN/>
        <w:bidi w:val="0"/>
        <w:snapToGrid/>
        <w:spacing w:line="560" w:lineRule="exact"/>
        <w:ind w:left="0"/>
        <w:textAlignment w:val="auto"/>
        <w:rPr>
          <w:rFonts w:ascii="Times New Roman" w:hAnsi="Times New Roman" w:eastAsia="黑体"/>
        </w:rPr>
      </w:pPr>
      <w:r>
        <w:rPr>
          <w:rFonts w:hint="eastAsia" w:ascii="Times New Roman" w:hAnsi="Times New Roman" w:eastAsia="黑体"/>
          <w:sz w:val="28"/>
          <w:szCs w:val="28"/>
        </w:rPr>
        <w:t>项目编号：XB202</w:t>
      </w:r>
      <w:r>
        <w:rPr>
          <w:rFonts w:hint="eastAsia" w:ascii="Times New Roman" w:hAnsi="Times New Roman" w:eastAsia="黑体"/>
          <w:sz w:val="28"/>
          <w:szCs w:val="28"/>
          <w:lang w:val="en-US" w:eastAsia="zh-CN"/>
        </w:rPr>
        <w:t>60128</w:t>
      </w:r>
      <w:r>
        <w:rPr>
          <w:rFonts w:hint="eastAsia" w:ascii="Times New Roman" w:hAnsi="Times New Roman" w:eastAsia="黑体"/>
          <w:sz w:val="28"/>
          <w:szCs w:val="28"/>
        </w:rPr>
        <w:t>-01</w:t>
      </w:r>
    </w:p>
    <w:p w14:paraId="41DEA499">
      <w:pPr>
        <w:pageBreakBefore w:val="0"/>
        <w:kinsoku/>
        <w:wordWrap/>
        <w:topLinePunct w:val="0"/>
        <w:autoSpaceDE/>
        <w:autoSpaceDN/>
        <w:bidi w:val="0"/>
        <w:snapToGrid/>
        <w:spacing w:line="560" w:lineRule="exact"/>
        <w:ind w:left="0"/>
        <w:textAlignment w:val="auto"/>
        <w:rPr>
          <w:rFonts w:ascii="Times New Roman" w:hAnsi="Times New Roman"/>
        </w:rPr>
      </w:pPr>
    </w:p>
    <w:p w14:paraId="33B97A2A">
      <w:pPr>
        <w:pageBreakBefore w:val="0"/>
        <w:kinsoku/>
        <w:wordWrap/>
        <w:topLinePunct w:val="0"/>
        <w:autoSpaceDE/>
        <w:autoSpaceDN/>
        <w:bidi w:val="0"/>
        <w:snapToGrid/>
        <w:spacing w:line="560" w:lineRule="exact"/>
        <w:ind w:left="0"/>
        <w:textAlignment w:val="auto"/>
        <w:rPr>
          <w:rFonts w:ascii="Times New Roman" w:hAnsi="Times New Roman"/>
        </w:rPr>
      </w:pPr>
    </w:p>
    <w:p w14:paraId="2675DF1E">
      <w:pPr>
        <w:pageBreakBefore w:val="0"/>
        <w:kinsoku/>
        <w:wordWrap/>
        <w:topLinePunct w:val="0"/>
        <w:autoSpaceDE/>
        <w:autoSpaceDN/>
        <w:bidi w:val="0"/>
        <w:snapToGrid/>
        <w:spacing w:line="560" w:lineRule="exact"/>
        <w:ind w:left="0"/>
        <w:textAlignment w:val="auto"/>
      </w:pPr>
    </w:p>
    <w:p w14:paraId="338CAE2E">
      <w:pPr>
        <w:pageBreakBefore w:val="0"/>
        <w:kinsoku/>
        <w:wordWrap/>
        <w:topLinePunct w:val="0"/>
        <w:autoSpaceDE/>
        <w:autoSpaceDN/>
        <w:bidi w:val="0"/>
        <w:snapToGrid/>
        <w:spacing w:line="560" w:lineRule="exact"/>
        <w:ind w:left="0"/>
        <w:textAlignment w:val="auto"/>
        <w:rPr>
          <w:rFonts w:ascii="Times New Roman" w:hAnsi="Times New Roman"/>
        </w:rPr>
      </w:pPr>
    </w:p>
    <w:p w14:paraId="6BCE03A0">
      <w:pPr>
        <w:pageBreakBefore w:val="0"/>
        <w:kinsoku/>
        <w:wordWrap/>
        <w:topLinePunct w:val="0"/>
        <w:autoSpaceDE/>
        <w:autoSpaceDN/>
        <w:bidi w:val="0"/>
        <w:snapToGrid/>
        <w:spacing w:line="560" w:lineRule="exact"/>
        <w:ind w:left="0"/>
        <w:textAlignment w:val="auto"/>
        <w:rPr>
          <w:rFonts w:ascii="Times New Roman" w:hAnsi="Times New Roman"/>
        </w:rPr>
      </w:pPr>
    </w:p>
    <w:p w14:paraId="51A057DA">
      <w:pPr>
        <w:pageBreakBefore w:val="0"/>
        <w:kinsoku/>
        <w:wordWrap/>
        <w:topLinePunct w:val="0"/>
        <w:autoSpaceDE/>
        <w:autoSpaceDN/>
        <w:bidi w:val="0"/>
        <w:snapToGrid/>
        <w:spacing w:line="560" w:lineRule="exact"/>
        <w:ind w:left="0"/>
        <w:jc w:val="center"/>
        <w:textAlignment w:val="auto"/>
        <w:rPr>
          <w:rFonts w:ascii="Times New Roman" w:hAnsi="Times New Roman" w:eastAsia="黑体"/>
          <w:sz w:val="44"/>
          <w:szCs w:val="44"/>
        </w:rPr>
      </w:pPr>
      <w:r>
        <w:rPr>
          <w:rFonts w:hint="eastAsia" w:ascii="Times New Roman" w:hAnsi="Times New Roman" w:eastAsia="黑体"/>
          <w:sz w:val="44"/>
          <w:szCs w:val="44"/>
        </w:rPr>
        <w:t>陕西锌业有限公司</w:t>
      </w:r>
    </w:p>
    <w:p w14:paraId="43EDCF82">
      <w:pPr>
        <w:pageBreakBefore w:val="0"/>
        <w:kinsoku/>
        <w:wordWrap/>
        <w:topLinePunct w:val="0"/>
        <w:autoSpaceDE/>
        <w:autoSpaceDN/>
        <w:bidi w:val="0"/>
        <w:snapToGrid/>
        <w:spacing w:line="560" w:lineRule="exact"/>
        <w:ind w:left="0"/>
        <w:jc w:val="center"/>
        <w:textAlignment w:val="auto"/>
        <w:rPr>
          <w:rFonts w:ascii="Times New Roman" w:hAnsi="Times New Roman" w:eastAsia="黑体"/>
          <w:sz w:val="44"/>
          <w:szCs w:val="44"/>
          <w:highlight w:val="yellow"/>
        </w:rPr>
      </w:pPr>
      <w:r>
        <w:rPr>
          <w:rFonts w:hint="eastAsia" w:ascii="Times New Roman" w:hAnsi="Times New Roman" w:eastAsia="黑体"/>
          <w:sz w:val="44"/>
          <w:szCs w:val="44"/>
          <w:lang w:val="en-US" w:eastAsia="zh-CN"/>
        </w:rPr>
        <w:t>侧吹炉余热锅炉直升烟道水冷壁更换</w:t>
      </w:r>
      <w:r>
        <w:rPr>
          <w:rFonts w:hint="eastAsia" w:ascii="Times New Roman" w:hAnsi="Times New Roman" w:eastAsia="黑体"/>
          <w:sz w:val="44"/>
          <w:szCs w:val="44"/>
        </w:rPr>
        <w:t>项目</w:t>
      </w:r>
    </w:p>
    <w:p w14:paraId="7117E4F1">
      <w:pPr>
        <w:pageBreakBefore w:val="0"/>
        <w:kinsoku/>
        <w:wordWrap/>
        <w:topLinePunct w:val="0"/>
        <w:autoSpaceDE/>
        <w:autoSpaceDN/>
        <w:bidi w:val="0"/>
        <w:snapToGrid/>
        <w:spacing w:line="560" w:lineRule="exact"/>
        <w:ind w:left="0"/>
        <w:textAlignment w:val="auto"/>
        <w:rPr>
          <w:rFonts w:ascii="Times New Roman" w:hAnsi="Times New Roman"/>
          <w:sz w:val="28"/>
        </w:rPr>
      </w:pPr>
    </w:p>
    <w:p w14:paraId="7C187FEF">
      <w:pPr>
        <w:pageBreakBefore w:val="0"/>
        <w:kinsoku/>
        <w:wordWrap/>
        <w:topLinePunct w:val="0"/>
        <w:autoSpaceDE/>
        <w:autoSpaceDN/>
        <w:bidi w:val="0"/>
        <w:snapToGrid/>
        <w:spacing w:line="560" w:lineRule="exact"/>
        <w:ind w:left="0"/>
        <w:jc w:val="center"/>
        <w:textAlignment w:val="auto"/>
        <w:rPr>
          <w:rFonts w:ascii="Times New Roman" w:hAnsi="Times New Roman" w:eastAsia="黑体"/>
          <w:sz w:val="44"/>
        </w:rPr>
      </w:pPr>
      <w:r>
        <w:rPr>
          <w:rFonts w:hint="eastAsia" w:ascii="Times New Roman" w:hAnsi="Times New Roman" w:eastAsia="黑体"/>
          <w:sz w:val="44"/>
          <w:lang w:val="en-US" w:eastAsia="zh-CN"/>
        </w:rPr>
        <w:t>二次</w:t>
      </w:r>
      <w:r>
        <w:rPr>
          <w:rFonts w:hint="eastAsia" w:ascii="Times New Roman" w:hAnsi="Times New Roman" w:eastAsia="黑体"/>
          <w:sz w:val="44"/>
        </w:rPr>
        <w:t>询比采购文件</w:t>
      </w:r>
    </w:p>
    <w:p w14:paraId="5E7BF4EE">
      <w:pPr>
        <w:pageBreakBefore w:val="0"/>
        <w:kinsoku/>
        <w:wordWrap/>
        <w:topLinePunct w:val="0"/>
        <w:autoSpaceDE/>
        <w:autoSpaceDN/>
        <w:bidi w:val="0"/>
        <w:snapToGrid/>
        <w:spacing w:line="560" w:lineRule="exact"/>
        <w:ind w:left="0"/>
        <w:textAlignment w:val="auto"/>
        <w:rPr>
          <w:rFonts w:ascii="Times New Roman" w:hAnsi="Times New Roman"/>
        </w:rPr>
      </w:pPr>
    </w:p>
    <w:p w14:paraId="56BAF6A0">
      <w:pPr>
        <w:pageBreakBefore w:val="0"/>
        <w:kinsoku/>
        <w:wordWrap/>
        <w:topLinePunct w:val="0"/>
        <w:autoSpaceDE/>
        <w:autoSpaceDN/>
        <w:bidi w:val="0"/>
        <w:snapToGrid/>
        <w:spacing w:line="560" w:lineRule="exact"/>
        <w:ind w:left="0"/>
        <w:textAlignment w:val="auto"/>
        <w:rPr>
          <w:rFonts w:ascii="Times New Roman" w:hAnsi="Times New Roman"/>
        </w:rPr>
      </w:pPr>
    </w:p>
    <w:p w14:paraId="63E1BCA9">
      <w:pPr>
        <w:pageBreakBefore w:val="0"/>
        <w:kinsoku/>
        <w:wordWrap/>
        <w:topLinePunct w:val="0"/>
        <w:autoSpaceDE/>
        <w:autoSpaceDN/>
        <w:bidi w:val="0"/>
        <w:snapToGrid/>
        <w:spacing w:line="560" w:lineRule="exact"/>
        <w:ind w:left="0"/>
        <w:textAlignment w:val="auto"/>
        <w:rPr>
          <w:rFonts w:ascii="Times New Roman" w:hAnsi="Times New Roman"/>
        </w:rPr>
      </w:pPr>
    </w:p>
    <w:p w14:paraId="09B8300C">
      <w:pPr>
        <w:pageBreakBefore w:val="0"/>
        <w:kinsoku/>
        <w:wordWrap/>
        <w:topLinePunct w:val="0"/>
        <w:autoSpaceDE/>
        <w:autoSpaceDN/>
        <w:bidi w:val="0"/>
        <w:snapToGrid/>
        <w:spacing w:line="560" w:lineRule="exact"/>
        <w:ind w:left="0"/>
        <w:textAlignment w:val="auto"/>
        <w:rPr>
          <w:rFonts w:ascii="Times New Roman" w:hAnsi="Times New Roman"/>
        </w:rPr>
      </w:pPr>
    </w:p>
    <w:p w14:paraId="603E8CBF">
      <w:pPr>
        <w:pageBreakBefore w:val="0"/>
        <w:kinsoku/>
        <w:wordWrap/>
        <w:topLinePunct w:val="0"/>
        <w:autoSpaceDE/>
        <w:autoSpaceDN/>
        <w:bidi w:val="0"/>
        <w:snapToGrid/>
        <w:spacing w:line="560" w:lineRule="exact"/>
        <w:ind w:left="0"/>
        <w:textAlignment w:val="auto"/>
        <w:rPr>
          <w:rFonts w:ascii="Times New Roman" w:hAnsi="Times New Roman"/>
        </w:rPr>
      </w:pPr>
    </w:p>
    <w:p w14:paraId="6331DA8F">
      <w:pPr>
        <w:pageBreakBefore w:val="0"/>
        <w:kinsoku/>
        <w:wordWrap/>
        <w:topLinePunct w:val="0"/>
        <w:autoSpaceDE/>
        <w:autoSpaceDN/>
        <w:bidi w:val="0"/>
        <w:snapToGrid/>
        <w:spacing w:line="560" w:lineRule="exact"/>
        <w:ind w:left="0"/>
        <w:textAlignment w:val="auto"/>
        <w:rPr>
          <w:rFonts w:ascii="Times New Roman" w:hAnsi="Times New Roman"/>
        </w:rPr>
      </w:pPr>
    </w:p>
    <w:p w14:paraId="0C5EE92A">
      <w:pPr>
        <w:pageBreakBefore w:val="0"/>
        <w:kinsoku/>
        <w:wordWrap/>
        <w:topLinePunct w:val="0"/>
        <w:autoSpaceDE/>
        <w:autoSpaceDN/>
        <w:bidi w:val="0"/>
        <w:snapToGrid/>
        <w:spacing w:line="560" w:lineRule="exact"/>
        <w:ind w:left="0"/>
        <w:textAlignment w:val="auto"/>
        <w:rPr>
          <w:rFonts w:ascii="Times New Roman" w:hAnsi="Times New Roman"/>
        </w:rPr>
      </w:pPr>
    </w:p>
    <w:p w14:paraId="5986417F">
      <w:pPr>
        <w:pStyle w:val="3"/>
        <w:pageBreakBefore w:val="0"/>
        <w:kinsoku/>
        <w:wordWrap/>
        <w:topLinePunct w:val="0"/>
        <w:autoSpaceDE/>
        <w:autoSpaceDN/>
        <w:bidi w:val="0"/>
        <w:snapToGrid/>
        <w:spacing w:beforeLines="0" w:afterLines="0" w:line="560" w:lineRule="exact"/>
        <w:ind w:left="0" w:leftChars="0" w:firstLine="0" w:firstLineChars="0"/>
        <w:textAlignment w:val="auto"/>
      </w:pPr>
    </w:p>
    <w:p w14:paraId="55DCF675">
      <w:pPr>
        <w:pStyle w:val="3"/>
        <w:pageBreakBefore w:val="0"/>
        <w:kinsoku/>
        <w:wordWrap/>
        <w:topLinePunct w:val="0"/>
        <w:autoSpaceDE/>
        <w:autoSpaceDN/>
        <w:bidi w:val="0"/>
        <w:snapToGrid/>
        <w:spacing w:beforeLines="0" w:afterLines="0" w:line="560" w:lineRule="exact"/>
        <w:ind w:left="0" w:firstLine="0" w:firstLineChars="0"/>
        <w:textAlignment w:val="auto"/>
      </w:pPr>
    </w:p>
    <w:p w14:paraId="6FA05438">
      <w:pPr>
        <w:pStyle w:val="3"/>
        <w:pageBreakBefore w:val="0"/>
        <w:kinsoku/>
        <w:wordWrap/>
        <w:topLinePunct w:val="0"/>
        <w:autoSpaceDE/>
        <w:autoSpaceDN/>
        <w:bidi w:val="0"/>
        <w:snapToGrid/>
        <w:spacing w:beforeLines="0" w:afterLines="0" w:line="560" w:lineRule="exact"/>
        <w:ind w:left="0" w:firstLine="0" w:firstLineChars="0"/>
        <w:textAlignment w:val="auto"/>
      </w:pPr>
    </w:p>
    <w:p w14:paraId="18B75C99">
      <w:pPr>
        <w:pageBreakBefore w:val="0"/>
        <w:kinsoku/>
        <w:wordWrap/>
        <w:topLinePunct w:val="0"/>
        <w:autoSpaceDE/>
        <w:autoSpaceDN/>
        <w:bidi w:val="0"/>
        <w:snapToGrid/>
        <w:spacing w:line="560" w:lineRule="exact"/>
        <w:ind w:left="0" w:firstLine="1800" w:firstLineChars="500"/>
        <w:textAlignment w:val="auto"/>
        <w:rPr>
          <w:rFonts w:ascii="Times New Roman" w:hAnsi="Times New Roman" w:eastAsia="黑体"/>
          <w:sz w:val="36"/>
          <w:szCs w:val="36"/>
        </w:rPr>
      </w:pPr>
      <w:r>
        <w:rPr>
          <w:rFonts w:hint="eastAsia" w:ascii="Times New Roman" w:hAnsi="Times New Roman" w:eastAsia="黑体"/>
          <w:sz w:val="36"/>
          <w:szCs w:val="36"/>
        </w:rPr>
        <w:t>采购人：陕西锌业有限公司</w:t>
      </w:r>
      <w:bookmarkStart w:id="143" w:name="_GoBack"/>
      <w:bookmarkEnd w:id="143"/>
    </w:p>
    <w:p w14:paraId="26CEE8B6">
      <w:pPr>
        <w:pageBreakBefore w:val="0"/>
        <w:kinsoku/>
        <w:wordWrap/>
        <w:topLinePunct w:val="0"/>
        <w:autoSpaceDE/>
        <w:autoSpaceDN/>
        <w:bidi w:val="0"/>
        <w:snapToGrid/>
        <w:spacing w:line="560" w:lineRule="exact"/>
        <w:ind w:left="0" w:firstLine="1800" w:firstLineChars="500"/>
        <w:textAlignment w:val="auto"/>
        <w:rPr>
          <w:rFonts w:hint="eastAsia" w:ascii="Times New Roman" w:hAnsi="Times New Roman" w:eastAsia="黑体"/>
          <w:sz w:val="36"/>
          <w:szCs w:val="36"/>
        </w:rPr>
      </w:pPr>
      <w:r>
        <w:rPr>
          <w:rFonts w:hint="eastAsia" w:ascii="Times New Roman" w:hAnsi="Times New Roman" w:eastAsia="黑体"/>
          <w:sz w:val="36"/>
          <w:szCs w:val="36"/>
        </w:rPr>
        <w:t>负责人：    徐   靖</w:t>
      </w:r>
    </w:p>
    <w:p w14:paraId="44E14D40">
      <w:pPr>
        <w:pStyle w:val="2"/>
        <w:pageBreakBefore w:val="0"/>
        <w:kinsoku/>
        <w:wordWrap/>
        <w:topLinePunct w:val="0"/>
        <w:autoSpaceDE/>
        <w:autoSpaceDN/>
        <w:bidi w:val="0"/>
        <w:snapToGrid/>
        <w:spacing w:before="0" w:beforeLines="0" w:after="0" w:afterLines="0" w:line="560" w:lineRule="exact"/>
        <w:ind w:left="0"/>
      </w:pPr>
    </w:p>
    <w:p w14:paraId="360B4CF5">
      <w:pPr>
        <w:pageBreakBefore w:val="0"/>
        <w:kinsoku/>
        <w:wordWrap/>
        <w:topLinePunct w:val="0"/>
        <w:autoSpaceDE/>
        <w:autoSpaceDN/>
        <w:bidi w:val="0"/>
        <w:snapToGrid/>
        <w:spacing w:line="560" w:lineRule="exact"/>
        <w:ind w:left="0" w:firstLine="1920" w:firstLineChars="600"/>
        <w:textAlignment w:val="auto"/>
        <w:rPr>
          <w:rFonts w:ascii="Times New Roman" w:hAnsi="Times New Roman" w:eastAsia="宋体"/>
          <w:sz w:val="32"/>
          <w:szCs w:val="32"/>
        </w:rPr>
        <w:sectPr>
          <w:headerReference r:id="rId3" w:type="default"/>
          <w:footerReference r:id="rId4" w:type="default"/>
          <w:footerReference r:id="rId5" w:type="even"/>
          <w:pgSz w:w="11905" w:h="16838"/>
          <w:pgMar w:top="1134" w:right="1134" w:bottom="1134" w:left="1417" w:header="720" w:footer="720" w:gutter="0"/>
          <w:cols w:space="720" w:num="1"/>
          <w:docGrid w:linePitch="285" w:charSpace="0"/>
        </w:sectPr>
      </w:pPr>
      <w:r>
        <w:rPr>
          <w:rFonts w:hint="eastAsia" w:ascii="Times New Roman" w:hAnsi="Times New Roman" w:eastAsia="黑体"/>
          <w:sz w:val="32"/>
          <w:szCs w:val="32"/>
        </w:rPr>
        <w:t>二〇二</w:t>
      </w:r>
      <w:r>
        <w:rPr>
          <w:rFonts w:hint="eastAsia" w:ascii="Times New Roman" w:hAnsi="Times New Roman" w:eastAsia="黑体"/>
          <w:sz w:val="32"/>
          <w:szCs w:val="32"/>
          <w:lang w:val="en-US" w:eastAsia="zh-CN"/>
        </w:rPr>
        <w:t>六</w:t>
      </w:r>
      <w:r>
        <w:rPr>
          <w:rFonts w:hint="eastAsia" w:ascii="Times New Roman" w:hAnsi="Times New Roman" w:eastAsia="黑体"/>
          <w:sz w:val="32"/>
          <w:szCs w:val="32"/>
        </w:rPr>
        <w:t>年</w:t>
      </w:r>
      <w:r>
        <w:rPr>
          <w:rFonts w:hint="eastAsia" w:ascii="Times New Roman" w:hAnsi="Times New Roman" w:eastAsia="黑体"/>
          <w:sz w:val="32"/>
          <w:szCs w:val="32"/>
          <w:lang w:val="en-US" w:eastAsia="zh-CN"/>
        </w:rPr>
        <w:t>二</w:t>
      </w:r>
      <w:r>
        <w:rPr>
          <w:rFonts w:hint="eastAsia" w:ascii="Times New Roman" w:hAnsi="Times New Roman" w:eastAsia="黑体"/>
          <w:sz w:val="32"/>
          <w:szCs w:val="32"/>
        </w:rPr>
        <w:t>月</w:t>
      </w:r>
      <w:r>
        <w:rPr>
          <w:rFonts w:hint="eastAsia" w:ascii="Times New Roman" w:hAnsi="Times New Roman" w:eastAsia="黑体"/>
          <w:sz w:val="32"/>
          <w:szCs w:val="32"/>
          <w:lang w:val="en-US" w:eastAsia="zh-CN"/>
        </w:rPr>
        <w:t>六</w:t>
      </w:r>
      <w:r>
        <w:rPr>
          <w:rFonts w:hint="eastAsia" w:ascii="Times New Roman" w:hAnsi="Times New Roman" w:eastAsia="黑体"/>
          <w:sz w:val="32"/>
          <w:szCs w:val="32"/>
        </w:rPr>
        <w:t>日</w:t>
      </w:r>
    </w:p>
    <w:p w14:paraId="6A7BE39A">
      <w:pPr>
        <w:pStyle w:val="10"/>
        <w:pageBreakBefore w:val="0"/>
        <w:widowControl/>
        <w:kinsoku/>
        <w:wordWrap/>
        <w:topLinePunct w:val="0"/>
        <w:autoSpaceDE/>
        <w:autoSpaceDN/>
        <w:bidi w:val="0"/>
        <w:snapToGrid/>
        <w:spacing w:beforeAutospacing="0" w:afterAutospacing="0" w:line="560" w:lineRule="exact"/>
        <w:ind w:left="0"/>
        <w:jc w:val="center"/>
        <w:textAlignment w:val="auto"/>
        <w:rPr>
          <w:rFonts w:ascii="黑体" w:hAnsi="黑体" w:eastAsia="黑体" w:cs="黑体"/>
          <w:b/>
          <w:bCs/>
          <w:sz w:val="36"/>
          <w:szCs w:val="36"/>
        </w:rPr>
      </w:pPr>
    </w:p>
    <w:p w14:paraId="6F35B9A2">
      <w:pPr>
        <w:pStyle w:val="10"/>
        <w:pageBreakBefore w:val="0"/>
        <w:widowControl/>
        <w:kinsoku/>
        <w:wordWrap/>
        <w:topLinePunct w:val="0"/>
        <w:autoSpaceDE/>
        <w:autoSpaceDN/>
        <w:bidi w:val="0"/>
        <w:snapToGrid/>
        <w:spacing w:beforeAutospacing="0" w:afterAutospacing="0" w:line="560" w:lineRule="exact"/>
        <w:ind w:left="0"/>
        <w:jc w:val="center"/>
        <w:textAlignment w:val="auto"/>
        <w:rPr>
          <w:rFonts w:ascii="黑体" w:hAnsi="黑体" w:eastAsia="黑体" w:cs="黑体"/>
          <w:b/>
          <w:bCs/>
          <w:sz w:val="36"/>
          <w:szCs w:val="36"/>
        </w:rPr>
      </w:pPr>
    </w:p>
    <w:p w14:paraId="11E64BDA">
      <w:pPr>
        <w:pStyle w:val="10"/>
        <w:pageBreakBefore w:val="0"/>
        <w:widowControl/>
        <w:kinsoku/>
        <w:wordWrap/>
        <w:topLinePunct w:val="0"/>
        <w:autoSpaceDE/>
        <w:autoSpaceDN/>
        <w:bidi w:val="0"/>
        <w:snapToGrid/>
        <w:spacing w:beforeAutospacing="0" w:afterAutospacing="0" w:line="560" w:lineRule="exact"/>
        <w:ind w:left="0"/>
        <w:jc w:val="center"/>
        <w:textAlignment w:val="auto"/>
        <w:rPr>
          <w:rFonts w:ascii="黑体" w:hAnsi="黑体" w:eastAsia="黑体" w:cs="黑体"/>
          <w:b/>
          <w:bCs/>
          <w:sz w:val="36"/>
          <w:szCs w:val="36"/>
        </w:rPr>
      </w:pPr>
    </w:p>
    <w:p w14:paraId="5C9E0DF2">
      <w:pPr>
        <w:pStyle w:val="10"/>
        <w:pageBreakBefore w:val="0"/>
        <w:widowControl/>
        <w:kinsoku/>
        <w:wordWrap/>
        <w:topLinePunct w:val="0"/>
        <w:autoSpaceDE/>
        <w:autoSpaceDN/>
        <w:bidi w:val="0"/>
        <w:snapToGrid/>
        <w:spacing w:beforeAutospacing="0" w:afterAutospacing="0" w:line="560" w:lineRule="exact"/>
        <w:ind w:left="0"/>
        <w:jc w:val="center"/>
        <w:textAlignment w:val="auto"/>
        <w:rPr>
          <w:rFonts w:ascii="黑体" w:hAnsi="黑体" w:eastAsia="黑体" w:cs="黑体"/>
          <w:b/>
          <w:bCs/>
          <w:sz w:val="36"/>
          <w:szCs w:val="36"/>
        </w:rPr>
      </w:pPr>
    </w:p>
    <w:p w14:paraId="653A0DD3">
      <w:pPr>
        <w:pStyle w:val="10"/>
        <w:pageBreakBefore w:val="0"/>
        <w:widowControl/>
        <w:kinsoku/>
        <w:wordWrap/>
        <w:topLinePunct w:val="0"/>
        <w:autoSpaceDE/>
        <w:autoSpaceDN/>
        <w:bidi w:val="0"/>
        <w:snapToGrid/>
        <w:spacing w:beforeAutospacing="0" w:afterAutospacing="0" w:line="560" w:lineRule="exact"/>
        <w:ind w:left="0"/>
        <w:jc w:val="center"/>
        <w:textAlignment w:val="auto"/>
        <w:rPr>
          <w:rFonts w:ascii="黑体" w:hAnsi="黑体" w:eastAsia="黑体" w:cs="黑体"/>
          <w:b/>
          <w:bCs/>
          <w:sz w:val="36"/>
          <w:szCs w:val="36"/>
        </w:rPr>
      </w:pPr>
    </w:p>
    <w:p w14:paraId="2698A8F6">
      <w:pPr>
        <w:pStyle w:val="10"/>
        <w:pageBreakBefore w:val="0"/>
        <w:widowControl/>
        <w:kinsoku/>
        <w:wordWrap/>
        <w:topLinePunct w:val="0"/>
        <w:autoSpaceDE/>
        <w:autoSpaceDN/>
        <w:bidi w:val="0"/>
        <w:snapToGrid/>
        <w:spacing w:beforeAutospacing="0" w:afterAutospacing="0" w:line="560" w:lineRule="exact"/>
        <w:ind w:left="0"/>
        <w:jc w:val="center"/>
        <w:textAlignment w:val="auto"/>
        <w:rPr>
          <w:rFonts w:ascii="黑体" w:hAnsi="黑体" w:eastAsia="黑体" w:cs="黑体"/>
          <w:b/>
          <w:bCs/>
          <w:sz w:val="36"/>
          <w:szCs w:val="36"/>
        </w:rPr>
      </w:pPr>
    </w:p>
    <w:p w14:paraId="34CF6A21">
      <w:pPr>
        <w:pStyle w:val="10"/>
        <w:pageBreakBefore w:val="0"/>
        <w:widowControl/>
        <w:kinsoku/>
        <w:wordWrap/>
        <w:topLinePunct w:val="0"/>
        <w:autoSpaceDE/>
        <w:autoSpaceDN/>
        <w:bidi w:val="0"/>
        <w:snapToGrid/>
        <w:spacing w:beforeAutospacing="0" w:afterAutospacing="0" w:line="560" w:lineRule="exact"/>
        <w:ind w:left="0"/>
        <w:jc w:val="center"/>
        <w:textAlignment w:val="auto"/>
        <w:rPr>
          <w:rFonts w:ascii="黑体" w:hAnsi="黑体" w:eastAsia="黑体" w:cs="黑体"/>
          <w:b/>
          <w:bCs/>
          <w:sz w:val="36"/>
          <w:szCs w:val="36"/>
        </w:rPr>
      </w:pPr>
    </w:p>
    <w:p w14:paraId="63B612D7">
      <w:pPr>
        <w:pStyle w:val="10"/>
        <w:pageBreakBefore w:val="0"/>
        <w:widowControl/>
        <w:kinsoku/>
        <w:wordWrap/>
        <w:topLinePunct w:val="0"/>
        <w:autoSpaceDE/>
        <w:autoSpaceDN/>
        <w:bidi w:val="0"/>
        <w:snapToGrid/>
        <w:spacing w:beforeAutospacing="0" w:afterAutospacing="0" w:line="560" w:lineRule="exact"/>
        <w:ind w:left="0"/>
        <w:jc w:val="center"/>
        <w:textAlignment w:val="auto"/>
        <w:rPr>
          <w:rFonts w:ascii="黑体" w:hAnsi="黑体" w:eastAsia="黑体" w:cs="黑体"/>
          <w:b/>
          <w:bCs/>
          <w:sz w:val="36"/>
          <w:szCs w:val="36"/>
        </w:rPr>
      </w:pPr>
    </w:p>
    <w:p w14:paraId="71A1CBA0">
      <w:pPr>
        <w:pStyle w:val="10"/>
        <w:pageBreakBefore w:val="0"/>
        <w:widowControl/>
        <w:kinsoku/>
        <w:wordWrap/>
        <w:topLinePunct w:val="0"/>
        <w:autoSpaceDE/>
        <w:autoSpaceDN/>
        <w:bidi w:val="0"/>
        <w:snapToGrid/>
        <w:spacing w:beforeAutospacing="0" w:afterAutospacing="0" w:line="560" w:lineRule="exact"/>
        <w:ind w:left="0"/>
        <w:jc w:val="center"/>
        <w:textAlignment w:val="auto"/>
        <w:rPr>
          <w:rFonts w:ascii="黑体" w:hAnsi="黑体" w:eastAsia="黑体" w:cs="黑体"/>
          <w:b/>
          <w:bCs/>
          <w:sz w:val="36"/>
          <w:szCs w:val="36"/>
        </w:rPr>
      </w:pPr>
    </w:p>
    <w:p w14:paraId="2E24DE8E">
      <w:pPr>
        <w:pStyle w:val="10"/>
        <w:pageBreakBefore w:val="0"/>
        <w:widowControl/>
        <w:kinsoku/>
        <w:wordWrap/>
        <w:topLinePunct w:val="0"/>
        <w:autoSpaceDE/>
        <w:autoSpaceDN/>
        <w:bidi w:val="0"/>
        <w:snapToGrid/>
        <w:spacing w:beforeAutospacing="0" w:afterAutospacing="0" w:line="560" w:lineRule="exact"/>
        <w:ind w:left="0"/>
        <w:jc w:val="center"/>
        <w:textAlignment w:val="auto"/>
        <w:rPr>
          <w:rFonts w:ascii="黑体" w:hAnsi="黑体" w:eastAsia="黑体" w:cs="黑体"/>
          <w:b/>
          <w:bCs/>
          <w:sz w:val="36"/>
          <w:szCs w:val="36"/>
        </w:rPr>
      </w:pPr>
    </w:p>
    <w:p w14:paraId="35023432">
      <w:pPr>
        <w:pStyle w:val="10"/>
        <w:pageBreakBefore w:val="0"/>
        <w:widowControl/>
        <w:kinsoku/>
        <w:wordWrap/>
        <w:topLinePunct w:val="0"/>
        <w:autoSpaceDE/>
        <w:autoSpaceDN/>
        <w:bidi w:val="0"/>
        <w:snapToGrid/>
        <w:spacing w:beforeAutospacing="0" w:afterAutospacing="0" w:line="560" w:lineRule="exact"/>
        <w:ind w:left="0"/>
        <w:jc w:val="center"/>
        <w:textAlignment w:val="auto"/>
        <w:rPr>
          <w:rFonts w:ascii="黑体" w:hAnsi="黑体" w:eastAsia="黑体" w:cs="黑体"/>
          <w:b/>
          <w:bCs/>
          <w:sz w:val="36"/>
          <w:szCs w:val="36"/>
        </w:rPr>
      </w:pPr>
    </w:p>
    <w:p w14:paraId="1C92F5D5">
      <w:pPr>
        <w:pStyle w:val="10"/>
        <w:pageBreakBefore w:val="0"/>
        <w:widowControl/>
        <w:kinsoku/>
        <w:wordWrap/>
        <w:topLinePunct w:val="0"/>
        <w:autoSpaceDE/>
        <w:autoSpaceDN/>
        <w:bidi w:val="0"/>
        <w:snapToGrid/>
        <w:spacing w:beforeAutospacing="0" w:afterAutospacing="0" w:line="560" w:lineRule="exact"/>
        <w:ind w:left="0"/>
        <w:jc w:val="center"/>
        <w:textAlignment w:val="auto"/>
        <w:rPr>
          <w:rFonts w:ascii="黑体" w:hAnsi="黑体" w:eastAsia="黑体" w:cs="黑体"/>
          <w:b/>
          <w:bCs/>
          <w:sz w:val="36"/>
          <w:szCs w:val="36"/>
        </w:rPr>
      </w:pPr>
    </w:p>
    <w:p w14:paraId="5581A116">
      <w:pPr>
        <w:pStyle w:val="10"/>
        <w:pageBreakBefore w:val="0"/>
        <w:widowControl/>
        <w:kinsoku/>
        <w:wordWrap/>
        <w:topLinePunct w:val="0"/>
        <w:autoSpaceDE/>
        <w:autoSpaceDN/>
        <w:bidi w:val="0"/>
        <w:snapToGrid/>
        <w:spacing w:beforeAutospacing="0" w:afterAutospacing="0" w:line="560" w:lineRule="exact"/>
        <w:ind w:left="0"/>
        <w:jc w:val="center"/>
        <w:textAlignment w:val="auto"/>
        <w:rPr>
          <w:rFonts w:ascii="黑体" w:hAnsi="黑体" w:eastAsia="黑体" w:cs="黑体"/>
          <w:b/>
          <w:bCs/>
          <w:sz w:val="36"/>
          <w:szCs w:val="36"/>
        </w:rPr>
      </w:pPr>
    </w:p>
    <w:p w14:paraId="14102DD2">
      <w:pPr>
        <w:pStyle w:val="10"/>
        <w:pageBreakBefore w:val="0"/>
        <w:widowControl/>
        <w:kinsoku/>
        <w:wordWrap/>
        <w:topLinePunct w:val="0"/>
        <w:autoSpaceDE/>
        <w:autoSpaceDN/>
        <w:bidi w:val="0"/>
        <w:snapToGrid/>
        <w:spacing w:beforeAutospacing="0" w:afterAutospacing="0" w:line="560" w:lineRule="exact"/>
        <w:ind w:left="0"/>
        <w:jc w:val="center"/>
        <w:textAlignment w:val="auto"/>
        <w:rPr>
          <w:rFonts w:ascii="黑体" w:hAnsi="黑体" w:eastAsia="黑体" w:cs="黑体"/>
          <w:b/>
          <w:bCs/>
          <w:sz w:val="36"/>
          <w:szCs w:val="36"/>
        </w:rPr>
      </w:pPr>
    </w:p>
    <w:p w14:paraId="16C75B2E">
      <w:pPr>
        <w:pStyle w:val="10"/>
        <w:pageBreakBefore w:val="0"/>
        <w:widowControl/>
        <w:kinsoku/>
        <w:wordWrap/>
        <w:topLinePunct w:val="0"/>
        <w:autoSpaceDE/>
        <w:autoSpaceDN/>
        <w:bidi w:val="0"/>
        <w:snapToGrid/>
        <w:spacing w:beforeAutospacing="0" w:afterAutospacing="0" w:line="560" w:lineRule="exact"/>
        <w:ind w:left="0"/>
        <w:jc w:val="center"/>
        <w:textAlignment w:val="auto"/>
        <w:rPr>
          <w:rFonts w:ascii="黑体" w:hAnsi="黑体" w:eastAsia="黑体" w:cs="黑体"/>
          <w:b/>
          <w:bCs/>
          <w:sz w:val="36"/>
          <w:szCs w:val="36"/>
        </w:rPr>
      </w:pPr>
    </w:p>
    <w:p w14:paraId="4B762F80">
      <w:pPr>
        <w:pStyle w:val="10"/>
        <w:pageBreakBefore w:val="0"/>
        <w:widowControl/>
        <w:kinsoku/>
        <w:wordWrap/>
        <w:topLinePunct w:val="0"/>
        <w:autoSpaceDE/>
        <w:autoSpaceDN/>
        <w:bidi w:val="0"/>
        <w:snapToGrid/>
        <w:spacing w:beforeAutospacing="0" w:afterAutospacing="0" w:line="560" w:lineRule="exact"/>
        <w:ind w:left="0"/>
        <w:jc w:val="center"/>
        <w:textAlignment w:val="auto"/>
        <w:rPr>
          <w:rFonts w:ascii="黑体" w:hAnsi="黑体" w:eastAsia="黑体" w:cs="黑体"/>
          <w:b/>
          <w:bCs/>
          <w:sz w:val="36"/>
          <w:szCs w:val="36"/>
        </w:rPr>
      </w:pPr>
    </w:p>
    <w:p w14:paraId="6DE4560C">
      <w:pPr>
        <w:pStyle w:val="10"/>
        <w:pageBreakBefore w:val="0"/>
        <w:widowControl/>
        <w:kinsoku/>
        <w:wordWrap/>
        <w:topLinePunct w:val="0"/>
        <w:autoSpaceDE/>
        <w:autoSpaceDN/>
        <w:bidi w:val="0"/>
        <w:snapToGrid/>
        <w:spacing w:beforeAutospacing="0" w:afterAutospacing="0" w:line="560" w:lineRule="exact"/>
        <w:ind w:left="0"/>
        <w:jc w:val="center"/>
        <w:textAlignment w:val="auto"/>
        <w:rPr>
          <w:rFonts w:ascii="黑体" w:hAnsi="黑体" w:eastAsia="黑体" w:cs="黑体"/>
          <w:b/>
          <w:bCs/>
          <w:sz w:val="36"/>
          <w:szCs w:val="36"/>
        </w:rPr>
      </w:pPr>
    </w:p>
    <w:p w14:paraId="1A471C0E">
      <w:pPr>
        <w:pStyle w:val="10"/>
        <w:pageBreakBefore w:val="0"/>
        <w:widowControl/>
        <w:kinsoku/>
        <w:wordWrap/>
        <w:topLinePunct w:val="0"/>
        <w:autoSpaceDE/>
        <w:autoSpaceDN/>
        <w:bidi w:val="0"/>
        <w:snapToGrid/>
        <w:spacing w:beforeAutospacing="0" w:afterAutospacing="0" w:line="560" w:lineRule="exact"/>
        <w:ind w:left="0"/>
        <w:jc w:val="center"/>
        <w:textAlignment w:val="auto"/>
        <w:rPr>
          <w:rFonts w:ascii="黑体" w:hAnsi="黑体" w:eastAsia="黑体" w:cs="黑体"/>
          <w:b/>
          <w:bCs/>
          <w:sz w:val="36"/>
          <w:szCs w:val="36"/>
        </w:rPr>
      </w:pPr>
    </w:p>
    <w:p w14:paraId="502E8B85">
      <w:pPr>
        <w:pStyle w:val="10"/>
        <w:pageBreakBefore w:val="0"/>
        <w:widowControl/>
        <w:kinsoku/>
        <w:wordWrap/>
        <w:topLinePunct w:val="0"/>
        <w:autoSpaceDE/>
        <w:autoSpaceDN/>
        <w:bidi w:val="0"/>
        <w:snapToGrid/>
        <w:spacing w:beforeAutospacing="0" w:afterAutospacing="0" w:line="560" w:lineRule="exact"/>
        <w:ind w:left="0"/>
        <w:jc w:val="center"/>
        <w:textAlignment w:val="auto"/>
        <w:rPr>
          <w:rFonts w:ascii="黑体" w:hAnsi="黑体" w:eastAsia="黑体" w:cs="黑体"/>
          <w:b/>
          <w:bCs/>
          <w:sz w:val="36"/>
          <w:szCs w:val="36"/>
        </w:rPr>
      </w:pPr>
    </w:p>
    <w:p w14:paraId="6363E811">
      <w:pPr>
        <w:pStyle w:val="10"/>
        <w:pageBreakBefore w:val="0"/>
        <w:widowControl/>
        <w:kinsoku/>
        <w:wordWrap/>
        <w:topLinePunct w:val="0"/>
        <w:autoSpaceDE/>
        <w:autoSpaceDN/>
        <w:bidi w:val="0"/>
        <w:snapToGrid/>
        <w:spacing w:beforeAutospacing="0" w:afterAutospacing="0" w:line="560" w:lineRule="exact"/>
        <w:ind w:left="0"/>
        <w:jc w:val="center"/>
        <w:textAlignment w:val="auto"/>
        <w:rPr>
          <w:rFonts w:ascii="黑体" w:hAnsi="黑体" w:eastAsia="黑体" w:cs="黑体"/>
          <w:b/>
          <w:bCs/>
          <w:sz w:val="36"/>
          <w:szCs w:val="36"/>
        </w:rPr>
      </w:pPr>
    </w:p>
    <w:p w14:paraId="17E39B7F">
      <w:pPr>
        <w:pStyle w:val="10"/>
        <w:pageBreakBefore w:val="0"/>
        <w:widowControl/>
        <w:kinsoku/>
        <w:wordWrap/>
        <w:topLinePunct w:val="0"/>
        <w:autoSpaceDE/>
        <w:autoSpaceDN/>
        <w:bidi w:val="0"/>
        <w:snapToGrid/>
        <w:spacing w:beforeAutospacing="0" w:afterAutospacing="0" w:line="560" w:lineRule="exact"/>
        <w:ind w:left="0"/>
        <w:jc w:val="center"/>
        <w:textAlignment w:val="auto"/>
        <w:rPr>
          <w:rFonts w:ascii="黑体" w:hAnsi="黑体" w:eastAsia="黑体" w:cs="黑体"/>
          <w:b/>
          <w:bCs/>
          <w:sz w:val="36"/>
          <w:szCs w:val="36"/>
        </w:rPr>
      </w:pPr>
    </w:p>
    <w:p w14:paraId="3B8A5A34">
      <w:pPr>
        <w:pStyle w:val="10"/>
        <w:pageBreakBefore w:val="0"/>
        <w:widowControl/>
        <w:kinsoku/>
        <w:wordWrap/>
        <w:topLinePunct w:val="0"/>
        <w:autoSpaceDE/>
        <w:autoSpaceDN/>
        <w:bidi w:val="0"/>
        <w:snapToGrid/>
        <w:spacing w:beforeAutospacing="0" w:afterAutospacing="0" w:line="560" w:lineRule="exact"/>
        <w:ind w:left="0"/>
        <w:jc w:val="center"/>
        <w:textAlignment w:val="auto"/>
        <w:rPr>
          <w:rFonts w:ascii="黑体" w:hAnsi="黑体" w:eastAsia="黑体" w:cs="黑体"/>
          <w:b/>
          <w:bCs/>
          <w:sz w:val="36"/>
          <w:szCs w:val="36"/>
        </w:rPr>
      </w:pPr>
    </w:p>
    <w:p w14:paraId="4C29DE30">
      <w:pPr>
        <w:pStyle w:val="10"/>
        <w:pageBreakBefore w:val="0"/>
        <w:widowControl/>
        <w:kinsoku/>
        <w:wordWrap/>
        <w:topLinePunct w:val="0"/>
        <w:autoSpaceDE/>
        <w:autoSpaceDN/>
        <w:bidi w:val="0"/>
        <w:snapToGrid/>
        <w:spacing w:beforeAutospacing="0" w:afterAutospacing="0" w:line="560" w:lineRule="exact"/>
        <w:ind w:left="0"/>
        <w:jc w:val="center"/>
        <w:textAlignment w:val="auto"/>
        <w:rPr>
          <w:rFonts w:ascii="黑体" w:hAnsi="黑体" w:eastAsia="黑体" w:cs="黑体"/>
          <w:b/>
          <w:bCs/>
          <w:sz w:val="36"/>
          <w:szCs w:val="36"/>
        </w:rPr>
      </w:pPr>
    </w:p>
    <w:p w14:paraId="77073EF1">
      <w:pPr>
        <w:pStyle w:val="10"/>
        <w:pageBreakBefore w:val="0"/>
        <w:widowControl/>
        <w:kinsoku/>
        <w:wordWrap/>
        <w:topLinePunct w:val="0"/>
        <w:autoSpaceDE/>
        <w:autoSpaceDN/>
        <w:bidi w:val="0"/>
        <w:snapToGrid/>
        <w:spacing w:beforeAutospacing="0" w:afterAutospacing="0" w:line="560" w:lineRule="exact"/>
        <w:ind w:left="0"/>
        <w:jc w:val="both"/>
        <w:textAlignment w:val="auto"/>
        <w:rPr>
          <w:rFonts w:ascii="黑体" w:hAnsi="黑体" w:eastAsia="黑体" w:cs="黑体"/>
          <w:b/>
          <w:bCs/>
          <w:sz w:val="36"/>
          <w:szCs w:val="36"/>
        </w:rPr>
      </w:pPr>
    </w:p>
    <w:p w14:paraId="60A48D5A">
      <w:pPr>
        <w:pStyle w:val="10"/>
        <w:pageBreakBefore w:val="0"/>
        <w:widowControl/>
        <w:kinsoku/>
        <w:wordWrap/>
        <w:topLinePunct w:val="0"/>
        <w:autoSpaceDE/>
        <w:autoSpaceDN/>
        <w:bidi w:val="0"/>
        <w:snapToGrid/>
        <w:spacing w:beforeAutospacing="0" w:afterAutospacing="0" w:line="560" w:lineRule="exact"/>
        <w:ind w:left="0"/>
        <w:jc w:val="center"/>
        <w:textAlignment w:val="auto"/>
        <w:rPr>
          <w:rFonts w:hint="default" w:ascii="黑体" w:hAnsi="黑体" w:eastAsia="黑体" w:cs="黑体"/>
          <w:b/>
          <w:bCs/>
          <w:sz w:val="36"/>
          <w:szCs w:val="36"/>
          <w:lang w:val="en-US" w:eastAsia="zh-CN"/>
        </w:rPr>
      </w:pPr>
      <w:r>
        <w:rPr>
          <w:rFonts w:hint="eastAsia" w:ascii="黑体" w:hAnsi="黑体" w:eastAsia="黑体" w:cs="黑体"/>
          <w:b/>
          <w:bCs/>
          <w:sz w:val="36"/>
          <w:szCs w:val="36"/>
        </w:rPr>
        <w:t>202</w:t>
      </w:r>
      <w:r>
        <w:rPr>
          <w:rFonts w:hint="eastAsia" w:ascii="黑体" w:hAnsi="黑体" w:eastAsia="黑体" w:cs="黑体"/>
          <w:b/>
          <w:bCs/>
          <w:sz w:val="36"/>
          <w:szCs w:val="36"/>
          <w:lang w:val="en-US" w:eastAsia="zh-CN"/>
        </w:rPr>
        <w:t>6</w:t>
      </w:r>
      <w:r>
        <w:rPr>
          <w:rFonts w:hint="eastAsia" w:ascii="黑体" w:hAnsi="黑体" w:eastAsia="黑体" w:cs="黑体"/>
          <w:b/>
          <w:bCs/>
          <w:sz w:val="36"/>
          <w:szCs w:val="36"/>
        </w:rPr>
        <w:t>年</w:t>
      </w:r>
      <w:r>
        <w:rPr>
          <w:rFonts w:hint="eastAsia" w:ascii="黑体" w:hAnsi="黑体" w:eastAsia="黑体" w:cs="黑体"/>
          <w:b/>
          <w:bCs/>
          <w:sz w:val="36"/>
          <w:szCs w:val="36"/>
          <w:lang w:val="en-US" w:eastAsia="zh-CN"/>
        </w:rPr>
        <w:t>侧吹炉余热锅炉直升烟道水冷壁更换</w:t>
      </w:r>
    </w:p>
    <w:p w14:paraId="3FECCF47">
      <w:pPr>
        <w:pStyle w:val="10"/>
        <w:pageBreakBefore w:val="0"/>
        <w:widowControl/>
        <w:kinsoku/>
        <w:wordWrap/>
        <w:topLinePunct w:val="0"/>
        <w:autoSpaceDE/>
        <w:autoSpaceDN/>
        <w:bidi w:val="0"/>
        <w:snapToGrid/>
        <w:spacing w:beforeAutospacing="0" w:afterAutospacing="0" w:line="560" w:lineRule="exact"/>
        <w:ind w:left="0"/>
        <w:jc w:val="center"/>
        <w:textAlignment w:val="auto"/>
        <w:rPr>
          <w:rFonts w:ascii="黑体" w:hAnsi="黑体" w:eastAsia="黑体" w:cs="黑体"/>
          <w:b/>
          <w:bCs/>
          <w:sz w:val="36"/>
          <w:szCs w:val="36"/>
        </w:rPr>
      </w:pPr>
      <w:r>
        <w:rPr>
          <w:rFonts w:hint="eastAsia" w:ascii="黑体" w:hAnsi="黑体" w:eastAsia="黑体" w:cs="黑体"/>
          <w:b/>
          <w:bCs/>
          <w:sz w:val="36"/>
          <w:szCs w:val="36"/>
          <w:lang w:val="en-US" w:eastAsia="zh-CN"/>
        </w:rPr>
        <w:t>二次</w:t>
      </w:r>
      <w:r>
        <w:rPr>
          <w:rFonts w:hint="eastAsia" w:ascii="黑体" w:hAnsi="黑体" w:eastAsia="黑体" w:cs="黑体"/>
          <w:b/>
          <w:bCs/>
          <w:sz w:val="36"/>
          <w:szCs w:val="36"/>
        </w:rPr>
        <w:t>询比采购邀请函</w:t>
      </w:r>
    </w:p>
    <w:p w14:paraId="256DEC60">
      <w:pPr>
        <w:pageBreakBefore w:val="0"/>
        <w:kinsoku/>
        <w:wordWrap/>
        <w:topLinePunct w:val="0"/>
        <w:autoSpaceDE/>
        <w:autoSpaceDN/>
        <w:bidi w:val="0"/>
        <w:snapToGrid/>
        <w:spacing w:line="560" w:lineRule="exact"/>
        <w:ind w:left="0"/>
        <w:jc w:val="center"/>
        <w:textAlignment w:val="auto"/>
        <w:rPr>
          <w:rFonts w:ascii="仿宋" w:hAnsi="仿宋" w:eastAsia="仿宋" w:cs="仿宋"/>
          <w:b/>
          <w:bCs/>
          <w:sz w:val="32"/>
          <w:szCs w:val="32"/>
        </w:rPr>
      </w:pPr>
      <w:r>
        <w:rPr>
          <w:rFonts w:hint="eastAsia" w:ascii="仿宋" w:hAnsi="仿宋" w:eastAsia="仿宋" w:cs="仿宋"/>
          <w:b/>
          <w:bCs/>
          <w:sz w:val="32"/>
          <w:szCs w:val="32"/>
        </w:rPr>
        <w:t>（采购编号：XB202</w:t>
      </w:r>
      <w:r>
        <w:rPr>
          <w:rFonts w:hint="eastAsia" w:ascii="仿宋" w:hAnsi="仿宋" w:eastAsia="仿宋" w:cs="仿宋"/>
          <w:b/>
          <w:bCs/>
          <w:sz w:val="32"/>
          <w:szCs w:val="32"/>
          <w:lang w:val="en-US" w:eastAsia="zh-CN"/>
        </w:rPr>
        <w:t>60128</w:t>
      </w:r>
      <w:r>
        <w:rPr>
          <w:rFonts w:hint="eastAsia" w:ascii="仿宋" w:hAnsi="仿宋" w:eastAsia="仿宋" w:cs="仿宋"/>
          <w:b/>
          <w:bCs/>
          <w:sz w:val="32"/>
          <w:szCs w:val="32"/>
        </w:rPr>
        <w:t>-01）</w:t>
      </w:r>
    </w:p>
    <w:p w14:paraId="3324EC9C">
      <w:pPr>
        <w:pageBreakBefore w:val="0"/>
        <w:widowControl w:val="0"/>
        <w:kinsoku/>
        <w:wordWrap/>
        <w:overflowPunct/>
        <w:topLinePunct w:val="0"/>
        <w:autoSpaceDE/>
        <w:autoSpaceDN/>
        <w:bidi w:val="0"/>
        <w:adjustRightInd/>
        <w:snapToGrid/>
        <w:spacing w:line="520" w:lineRule="exact"/>
        <w:ind w:left="0" w:firstLine="640" w:firstLineChars="200"/>
        <w:jc w:val="left"/>
        <w:textAlignment w:val="auto"/>
        <w:rPr>
          <w:rFonts w:ascii="仿宋" w:hAnsi="仿宋" w:eastAsia="仿宋" w:cs="仿宋"/>
          <w:color w:val="000000"/>
          <w:sz w:val="32"/>
          <w:szCs w:val="32"/>
        </w:rPr>
      </w:pPr>
      <w:r>
        <w:rPr>
          <w:rFonts w:hint="eastAsia" w:ascii="仿宋" w:hAnsi="仿宋" w:eastAsia="仿宋" w:cs="仿宋"/>
          <w:color w:val="000000"/>
          <w:sz w:val="32"/>
          <w:szCs w:val="32"/>
        </w:rPr>
        <w:t>陕西锌业有限公司因生产需要，拟</w:t>
      </w:r>
      <w:r>
        <w:rPr>
          <w:rFonts w:hint="eastAsia" w:ascii="仿宋" w:hAnsi="仿宋" w:eastAsia="仿宋" w:cs="仿宋"/>
          <w:color w:val="000000"/>
          <w:sz w:val="32"/>
          <w:szCs w:val="32"/>
          <w:lang w:val="en-US" w:eastAsia="zh-CN"/>
        </w:rPr>
        <w:t>对侧吹炉余热锅炉直升烟道水冷壁更换，按照公司有关规定，拟通过询比方式确</w:t>
      </w:r>
      <w:r>
        <w:rPr>
          <w:rFonts w:hint="eastAsia" w:ascii="仿宋" w:hAnsi="仿宋" w:eastAsia="仿宋" w:cs="仿宋"/>
          <w:color w:val="000000"/>
          <w:sz w:val="32"/>
          <w:szCs w:val="32"/>
        </w:rPr>
        <w:t>定供应商，欢迎具备相应资质及能力的单位参与该项目询比采购，具体内容如下：</w:t>
      </w:r>
    </w:p>
    <w:p w14:paraId="3C2144CF">
      <w:pPr>
        <w:pStyle w:val="5"/>
        <w:pageBreakBefore w:val="0"/>
        <w:widowControl w:val="0"/>
        <w:kinsoku/>
        <w:wordWrap/>
        <w:overflowPunct/>
        <w:topLinePunct w:val="0"/>
        <w:autoSpaceDE/>
        <w:autoSpaceDN/>
        <w:bidi w:val="0"/>
        <w:adjustRightInd/>
        <w:snapToGrid/>
        <w:spacing w:before="0" w:after="0" w:line="520" w:lineRule="exact"/>
        <w:ind w:left="0" w:firstLine="643" w:firstLineChars="200"/>
        <w:textAlignment w:val="auto"/>
        <w:rPr>
          <w:rFonts w:ascii="仿宋" w:hAnsi="仿宋" w:eastAsia="仿宋" w:cs="仿宋"/>
          <w:bCs/>
          <w:szCs w:val="32"/>
        </w:rPr>
      </w:pPr>
      <w:bookmarkStart w:id="0" w:name="_Toc4593"/>
      <w:bookmarkStart w:id="1" w:name="_Toc20230"/>
      <w:bookmarkStart w:id="2" w:name="_Toc14440"/>
      <w:bookmarkStart w:id="3" w:name="_Toc33795775"/>
      <w:r>
        <w:rPr>
          <w:rFonts w:hint="eastAsia" w:ascii="仿宋" w:hAnsi="仿宋" w:eastAsia="仿宋" w:cs="仿宋"/>
          <w:bCs/>
          <w:szCs w:val="32"/>
        </w:rPr>
        <w:t>一、采购项目</w:t>
      </w:r>
      <w:bookmarkEnd w:id="0"/>
      <w:bookmarkEnd w:id="1"/>
      <w:bookmarkEnd w:id="2"/>
      <w:bookmarkEnd w:id="3"/>
      <w:r>
        <w:rPr>
          <w:rFonts w:hint="eastAsia" w:ascii="仿宋" w:hAnsi="仿宋" w:eastAsia="仿宋" w:cs="仿宋"/>
          <w:bCs/>
          <w:szCs w:val="32"/>
        </w:rPr>
        <w:t>基本要求</w:t>
      </w:r>
    </w:p>
    <w:p w14:paraId="2778EEF7">
      <w:pPr>
        <w:pStyle w:val="5"/>
        <w:pageBreakBefore w:val="0"/>
        <w:widowControl w:val="0"/>
        <w:kinsoku/>
        <w:wordWrap/>
        <w:overflowPunct/>
        <w:topLinePunct w:val="0"/>
        <w:autoSpaceDE/>
        <w:autoSpaceDN/>
        <w:bidi w:val="0"/>
        <w:adjustRightInd/>
        <w:snapToGrid/>
        <w:spacing w:before="0" w:after="0" w:line="520" w:lineRule="exact"/>
        <w:ind w:left="0" w:firstLine="640" w:firstLineChars="200"/>
        <w:textAlignment w:val="auto"/>
        <w:rPr>
          <w:rFonts w:ascii="仿宋" w:hAnsi="仿宋" w:eastAsia="仿宋" w:cs="仿宋"/>
          <w:b w:val="0"/>
          <w:bCs/>
          <w:szCs w:val="32"/>
        </w:rPr>
      </w:pPr>
      <w:r>
        <w:rPr>
          <w:rFonts w:hint="eastAsia" w:ascii="仿宋" w:hAnsi="仿宋" w:eastAsia="仿宋" w:cs="仿宋"/>
          <w:b w:val="0"/>
          <w:bCs/>
          <w:szCs w:val="32"/>
        </w:rPr>
        <w:t>（一）采购人：陕西锌业有限公司</w:t>
      </w:r>
    </w:p>
    <w:p w14:paraId="13FCDE0B">
      <w:pPr>
        <w:pageBreakBefore w:val="0"/>
        <w:widowControl w:val="0"/>
        <w:kinsoku/>
        <w:wordWrap/>
        <w:overflowPunct/>
        <w:topLinePunct w:val="0"/>
        <w:autoSpaceDE/>
        <w:autoSpaceDN/>
        <w:bidi w:val="0"/>
        <w:adjustRightInd/>
        <w:snapToGrid/>
        <w:spacing w:line="520" w:lineRule="exact"/>
        <w:ind w:left="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rPr>
        <w:t>（二）采购项目名称：</w:t>
      </w:r>
      <w:bookmarkStart w:id="4" w:name="_Toc11471"/>
      <w:bookmarkStart w:id="5" w:name="_Toc14565"/>
      <w:bookmarkStart w:id="6" w:name="_Toc33795776"/>
      <w:bookmarkStart w:id="7" w:name="_Toc7037"/>
      <w:r>
        <w:rPr>
          <w:rFonts w:hint="eastAsia" w:ascii="仿宋" w:hAnsi="仿宋" w:eastAsia="仿宋" w:cs="仿宋"/>
          <w:sz w:val="32"/>
          <w:szCs w:val="32"/>
        </w:rPr>
        <w:t>陕西锌业有限公司</w:t>
      </w:r>
      <w:bookmarkEnd w:id="4"/>
      <w:bookmarkEnd w:id="5"/>
      <w:bookmarkEnd w:id="6"/>
      <w:bookmarkEnd w:id="7"/>
      <w:r>
        <w:rPr>
          <w:rFonts w:hint="eastAsia" w:ascii="仿宋" w:hAnsi="仿宋" w:eastAsia="仿宋" w:cs="仿宋"/>
          <w:color w:val="000000"/>
          <w:sz w:val="32"/>
          <w:szCs w:val="32"/>
          <w:lang w:val="en-US" w:eastAsia="zh-CN"/>
        </w:rPr>
        <w:t>侧吹炉余热锅炉直升烟道水冷壁更换</w:t>
      </w:r>
    </w:p>
    <w:p w14:paraId="06711FD8">
      <w:pPr>
        <w:pageBreakBefore w:val="0"/>
        <w:widowControl w:val="0"/>
        <w:kinsoku/>
        <w:wordWrap/>
        <w:overflowPunct/>
        <w:topLinePunct w:val="0"/>
        <w:autoSpaceDE/>
        <w:autoSpaceDN/>
        <w:bidi w:val="0"/>
        <w:adjustRightInd/>
        <w:snapToGrid/>
        <w:spacing w:line="520" w:lineRule="exact"/>
        <w:ind w:left="0"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（三）交货时间：</w:t>
      </w:r>
      <w:r>
        <w:rPr>
          <w:rFonts w:hint="eastAsia" w:ascii="仿宋" w:hAnsi="仿宋" w:eastAsia="仿宋" w:cs="仿宋"/>
          <w:sz w:val="32"/>
          <w:szCs w:val="32"/>
          <w:highlight w:val="none"/>
        </w:rPr>
        <w:t>合同签订后</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50</w:t>
      </w:r>
      <w:r>
        <w:rPr>
          <w:rFonts w:hint="eastAsia" w:ascii="仿宋" w:hAnsi="仿宋" w:eastAsia="仿宋" w:cs="仿宋"/>
          <w:sz w:val="32"/>
          <w:szCs w:val="32"/>
          <w:highlight w:val="none"/>
        </w:rPr>
        <w:t>个日历天</w:t>
      </w:r>
      <w:r>
        <w:rPr>
          <w:rFonts w:hint="eastAsia" w:ascii="仿宋" w:hAnsi="仿宋" w:eastAsia="仿宋" w:cs="仿宋"/>
          <w:sz w:val="32"/>
          <w:szCs w:val="32"/>
          <w:highlight w:val="none"/>
          <w:lang w:val="en-US" w:eastAsia="zh-CN"/>
        </w:rPr>
        <w:t>内</w:t>
      </w:r>
      <w:r>
        <w:rPr>
          <w:rFonts w:hint="eastAsia" w:ascii="仿宋" w:hAnsi="仿宋" w:eastAsia="仿宋" w:cs="仿宋"/>
          <w:sz w:val="32"/>
          <w:szCs w:val="32"/>
          <w:highlight w:val="none"/>
        </w:rPr>
        <w:t>到货，</w:t>
      </w:r>
      <w:r>
        <w:rPr>
          <w:rFonts w:hint="eastAsia" w:ascii="仿宋" w:hAnsi="仿宋" w:eastAsia="仿宋" w:cs="仿宋"/>
          <w:sz w:val="32"/>
          <w:szCs w:val="32"/>
          <w:highlight w:val="none"/>
          <w:lang w:val="en-US" w:eastAsia="zh-CN"/>
        </w:rPr>
        <w:t>拆除</w:t>
      </w:r>
      <w:r>
        <w:rPr>
          <w:rFonts w:hint="eastAsia" w:ascii="仿宋" w:hAnsi="仿宋" w:eastAsia="仿宋" w:cs="仿宋"/>
          <w:sz w:val="32"/>
          <w:szCs w:val="32"/>
          <w:highlight w:val="none"/>
        </w:rPr>
        <w:t>安装调试</w:t>
      </w:r>
      <w:r>
        <w:rPr>
          <w:rFonts w:hint="eastAsia" w:ascii="仿宋" w:hAnsi="仿宋" w:eastAsia="仿宋" w:cs="仿宋"/>
          <w:sz w:val="32"/>
          <w:szCs w:val="32"/>
          <w:highlight w:val="none"/>
          <w:lang w:val="en-US" w:eastAsia="zh-CN"/>
        </w:rPr>
        <w:t>20</w:t>
      </w:r>
      <w:r>
        <w:rPr>
          <w:rFonts w:hint="eastAsia" w:ascii="仿宋" w:hAnsi="仿宋" w:eastAsia="仿宋" w:cs="仿宋"/>
          <w:sz w:val="32"/>
          <w:szCs w:val="32"/>
          <w:highlight w:val="none"/>
        </w:rPr>
        <w:t>天。不能按期交货的，注明工期。</w:t>
      </w:r>
    </w:p>
    <w:p w14:paraId="210E4537">
      <w:pPr>
        <w:pageBreakBefore w:val="0"/>
        <w:widowControl w:val="0"/>
        <w:kinsoku/>
        <w:wordWrap/>
        <w:overflowPunct/>
        <w:topLinePunct w:val="0"/>
        <w:autoSpaceDE/>
        <w:autoSpaceDN/>
        <w:bidi w:val="0"/>
        <w:adjustRightInd/>
        <w:snapToGrid/>
        <w:spacing w:line="520" w:lineRule="exact"/>
        <w:ind w:left="0" w:firstLine="320" w:firstLineChars="100"/>
        <w:textAlignment w:val="auto"/>
        <w:rPr>
          <w:rFonts w:ascii="仿宋" w:hAnsi="仿宋" w:eastAsia="仿宋" w:cs="仿宋"/>
          <w:sz w:val="32"/>
          <w:szCs w:val="32"/>
        </w:rPr>
      </w:pPr>
      <w:r>
        <w:rPr>
          <w:rFonts w:hint="eastAsia" w:ascii="仿宋" w:hAnsi="仿宋" w:eastAsia="仿宋" w:cs="仿宋"/>
          <w:sz w:val="32"/>
          <w:szCs w:val="32"/>
        </w:rPr>
        <w:t>（四）交货地点：采购方指定地点。</w:t>
      </w:r>
    </w:p>
    <w:p w14:paraId="0DC081CC">
      <w:pPr>
        <w:pageBreakBefore w:val="0"/>
        <w:widowControl w:val="0"/>
        <w:kinsoku/>
        <w:wordWrap/>
        <w:overflowPunct/>
        <w:topLinePunct w:val="0"/>
        <w:autoSpaceDE/>
        <w:autoSpaceDN/>
        <w:bidi w:val="0"/>
        <w:adjustRightInd/>
        <w:snapToGrid/>
        <w:spacing w:line="520" w:lineRule="exact"/>
        <w:ind w:left="0" w:firstLine="320" w:firstLineChars="100"/>
        <w:textAlignment w:val="auto"/>
        <w:rPr>
          <w:rFonts w:hint="eastAsia" w:ascii="仿宋" w:hAnsi="仿宋" w:eastAsia="仿宋" w:cs="仿宋"/>
          <w:sz w:val="32"/>
          <w:szCs w:val="32"/>
        </w:rPr>
      </w:pPr>
      <w:r>
        <w:rPr>
          <w:rFonts w:hint="eastAsia" w:ascii="仿宋" w:hAnsi="仿宋" w:eastAsia="仿宋" w:cs="仿宋"/>
          <w:sz w:val="32"/>
          <w:szCs w:val="32"/>
        </w:rPr>
        <w:t>（五）采购货物一览表及需求描述</w:t>
      </w:r>
    </w:p>
    <w:p w14:paraId="1CC382EE">
      <w:pPr>
        <w:pageBreakBefore w:val="0"/>
        <w:widowControl w:val="0"/>
        <w:kinsoku/>
        <w:wordWrap/>
        <w:overflowPunct/>
        <w:topLinePunct w:val="0"/>
        <w:autoSpaceDE/>
        <w:autoSpaceDN/>
        <w:bidi w:val="0"/>
        <w:adjustRightInd/>
        <w:snapToGrid/>
        <w:spacing w:line="520" w:lineRule="exact"/>
        <w:ind w:left="0" w:firstLine="321" w:firstLineChars="100"/>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rPr>
        <w:t>A、</w:t>
      </w:r>
      <w:r>
        <w:rPr>
          <w:rFonts w:hint="eastAsia" w:ascii="仿宋" w:hAnsi="仿宋" w:eastAsia="仿宋" w:cs="仿宋"/>
          <w:b/>
          <w:bCs/>
          <w:sz w:val="32"/>
          <w:szCs w:val="32"/>
          <w:lang w:val="en-US" w:eastAsia="zh-CN"/>
        </w:rPr>
        <w:t>项目内容</w:t>
      </w:r>
    </w:p>
    <w:tbl>
      <w:tblPr>
        <w:tblStyle w:val="12"/>
        <w:tblW w:w="82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82"/>
        <w:gridCol w:w="2143"/>
        <w:gridCol w:w="3384"/>
        <w:gridCol w:w="1859"/>
      </w:tblGrid>
      <w:tr w14:paraId="0815C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882" w:type="dxa"/>
            <w:vAlign w:val="center"/>
          </w:tcPr>
          <w:p w14:paraId="0C40691E">
            <w:pPr>
              <w:pStyle w:val="2"/>
              <w:pageBreakBefore w:val="0"/>
              <w:kinsoku/>
              <w:wordWrap/>
              <w:overflowPunct/>
              <w:topLinePunct w:val="0"/>
              <w:autoSpaceDE/>
              <w:autoSpaceDN/>
              <w:bidi w:val="0"/>
              <w:snapToGrid/>
              <w:spacing w:before="0" w:beforeLines="0" w:after="0" w:afterLines="0" w:line="560" w:lineRule="exact"/>
              <w:ind w:left="0" w:leftChars="0" w:firstLine="0" w:firstLineChars="0"/>
              <w:jc w:val="center"/>
              <w:rPr>
                <w:rFonts w:hint="eastAsia" w:ascii="仿宋" w:hAnsi="仿宋" w:eastAsia="仿宋" w:cs="仿宋"/>
                <w:b w:val="0"/>
                <w:bCs/>
                <w:sz w:val="24"/>
                <w:szCs w:val="24"/>
                <w:vertAlign w:val="baseline"/>
                <w:lang w:val="en-US" w:eastAsia="zh-CN"/>
              </w:rPr>
            </w:pPr>
            <w:r>
              <w:rPr>
                <w:rFonts w:hint="eastAsia" w:ascii="仿宋" w:hAnsi="仿宋" w:eastAsia="仿宋" w:cs="仿宋"/>
                <w:b w:val="0"/>
                <w:bCs/>
                <w:sz w:val="24"/>
                <w:szCs w:val="24"/>
                <w:vertAlign w:val="baseline"/>
                <w:lang w:val="en-US" w:eastAsia="zh-CN"/>
              </w:rPr>
              <w:t>序号</w:t>
            </w:r>
          </w:p>
        </w:tc>
        <w:tc>
          <w:tcPr>
            <w:tcW w:w="2143" w:type="dxa"/>
            <w:vAlign w:val="center"/>
          </w:tcPr>
          <w:p w14:paraId="2283DAEB">
            <w:pPr>
              <w:pStyle w:val="2"/>
              <w:pageBreakBefore w:val="0"/>
              <w:kinsoku/>
              <w:wordWrap/>
              <w:overflowPunct/>
              <w:topLinePunct w:val="0"/>
              <w:autoSpaceDE/>
              <w:autoSpaceDN/>
              <w:bidi w:val="0"/>
              <w:snapToGrid/>
              <w:spacing w:before="0" w:beforeLines="0" w:after="0" w:afterLines="0" w:line="560" w:lineRule="exact"/>
              <w:ind w:left="0"/>
              <w:jc w:val="center"/>
              <w:rPr>
                <w:rFonts w:hint="eastAsia" w:ascii="仿宋" w:hAnsi="仿宋" w:eastAsia="仿宋" w:cs="仿宋"/>
                <w:b w:val="0"/>
                <w:bCs/>
                <w:sz w:val="24"/>
                <w:szCs w:val="24"/>
                <w:vertAlign w:val="baseline"/>
                <w:lang w:val="en-US" w:eastAsia="zh-CN"/>
              </w:rPr>
            </w:pPr>
            <w:r>
              <w:rPr>
                <w:rFonts w:hint="eastAsia" w:ascii="仿宋" w:hAnsi="仿宋" w:eastAsia="仿宋" w:cs="仿宋"/>
                <w:b w:val="0"/>
                <w:bCs/>
                <w:sz w:val="24"/>
                <w:szCs w:val="24"/>
                <w:vertAlign w:val="baseline"/>
                <w:lang w:val="en-US" w:eastAsia="zh-CN"/>
              </w:rPr>
              <w:t>项目名称</w:t>
            </w:r>
          </w:p>
        </w:tc>
        <w:tc>
          <w:tcPr>
            <w:tcW w:w="3384" w:type="dxa"/>
            <w:vAlign w:val="center"/>
          </w:tcPr>
          <w:p w14:paraId="0FBD73BF">
            <w:pPr>
              <w:pStyle w:val="2"/>
              <w:pageBreakBefore w:val="0"/>
              <w:kinsoku/>
              <w:wordWrap/>
              <w:overflowPunct/>
              <w:topLinePunct w:val="0"/>
              <w:autoSpaceDE/>
              <w:autoSpaceDN/>
              <w:bidi w:val="0"/>
              <w:snapToGrid/>
              <w:spacing w:before="0" w:beforeLines="0" w:after="0" w:afterLines="0" w:line="560" w:lineRule="exact"/>
              <w:ind w:left="0"/>
              <w:jc w:val="center"/>
              <w:rPr>
                <w:rFonts w:hint="eastAsia" w:ascii="仿宋" w:hAnsi="仿宋" w:eastAsia="仿宋" w:cs="仿宋"/>
                <w:b w:val="0"/>
                <w:bCs/>
                <w:sz w:val="24"/>
                <w:szCs w:val="24"/>
                <w:vertAlign w:val="baseline"/>
                <w:lang w:val="en-US" w:eastAsia="zh-CN"/>
              </w:rPr>
            </w:pPr>
            <w:r>
              <w:rPr>
                <w:rFonts w:hint="eastAsia" w:ascii="仿宋" w:hAnsi="仿宋" w:eastAsia="仿宋" w:cs="仿宋"/>
                <w:b w:val="0"/>
                <w:bCs/>
                <w:sz w:val="24"/>
                <w:szCs w:val="24"/>
                <w:vertAlign w:val="baseline"/>
                <w:lang w:val="en-US" w:eastAsia="zh-CN"/>
              </w:rPr>
              <w:t>项目内容</w:t>
            </w:r>
          </w:p>
        </w:tc>
        <w:tc>
          <w:tcPr>
            <w:tcW w:w="1859" w:type="dxa"/>
            <w:vAlign w:val="center"/>
          </w:tcPr>
          <w:p w14:paraId="401F2AA7">
            <w:pPr>
              <w:pStyle w:val="2"/>
              <w:pageBreakBefore w:val="0"/>
              <w:kinsoku/>
              <w:wordWrap/>
              <w:overflowPunct/>
              <w:topLinePunct w:val="0"/>
              <w:autoSpaceDE/>
              <w:autoSpaceDN/>
              <w:bidi w:val="0"/>
              <w:snapToGrid/>
              <w:spacing w:before="0" w:beforeLines="0" w:after="0" w:afterLines="0" w:line="560" w:lineRule="exact"/>
              <w:ind w:left="0"/>
              <w:jc w:val="center"/>
              <w:rPr>
                <w:rFonts w:hint="eastAsia" w:ascii="仿宋" w:hAnsi="仿宋" w:eastAsia="仿宋" w:cs="仿宋"/>
                <w:b w:val="0"/>
                <w:bCs/>
                <w:sz w:val="24"/>
                <w:szCs w:val="24"/>
                <w:vertAlign w:val="baseline"/>
                <w:lang w:val="en-US" w:eastAsia="zh-CN"/>
              </w:rPr>
            </w:pPr>
            <w:r>
              <w:rPr>
                <w:rFonts w:hint="eastAsia" w:ascii="仿宋" w:hAnsi="仿宋" w:eastAsia="仿宋" w:cs="仿宋"/>
                <w:b w:val="0"/>
                <w:bCs/>
                <w:sz w:val="24"/>
                <w:szCs w:val="24"/>
                <w:vertAlign w:val="baseline"/>
                <w:lang w:val="en-US" w:eastAsia="zh-CN"/>
              </w:rPr>
              <w:t>备注</w:t>
            </w:r>
          </w:p>
        </w:tc>
      </w:tr>
      <w:tr w14:paraId="764B1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2" w:hRule="atLeast"/>
        </w:trPr>
        <w:tc>
          <w:tcPr>
            <w:tcW w:w="882" w:type="dxa"/>
            <w:vAlign w:val="center"/>
          </w:tcPr>
          <w:p w14:paraId="0567D291">
            <w:pPr>
              <w:pStyle w:val="2"/>
              <w:pageBreakBefore w:val="0"/>
              <w:kinsoku/>
              <w:wordWrap/>
              <w:overflowPunct/>
              <w:topLinePunct w:val="0"/>
              <w:autoSpaceDE/>
              <w:autoSpaceDN/>
              <w:bidi w:val="0"/>
              <w:snapToGrid/>
              <w:spacing w:before="0" w:beforeLines="0" w:after="0" w:afterLines="0" w:line="560" w:lineRule="exact"/>
              <w:ind w:left="0" w:leftChars="0" w:firstLine="0" w:firstLineChars="0"/>
              <w:jc w:val="center"/>
              <w:rPr>
                <w:rFonts w:hint="eastAsia" w:ascii="仿宋" w:hAnsi="仿宋" w:eastAsia="仿宋" w:cs="仿宋"/>
                <w:b w:val="0"/>
                <w:bCs/>
                <w:sz w:val="24"/>
                <w:szCs w:val="24"/>
                <w:vertAlign w:val="baseline"/>
                <w:lang w:val="en-US" w:eastAsia="zh-CN"/>
              </w:rPr>
            </w:pPr>
            <w:r>
              <w:rPr>
                <w:rFonts w:hint="eastAsia" w:ascii="仿宋" w:hAnsi="仿宋" w:eastAsia="仿宋" w:cs="仿宋"/>
                <w:b w:val="0"/>
                <w:bCs/>
                <w:sz w:val="24"/>
                <w:szCs w:val="24"/>
                <w:vertAlign w:val="baseline"/>
                <w:lang w:val="en-US" w:eastAsia="zh-CN"/>
              </w:rPr>
              <w:t>1</w:t>
            </w:r>
          </w:p>
        </w:tc>
        <w:tc>
          <w:tcPr>
            <w:tcW w:w="2143" w:type="dxa"/>
            <w:vAlign w:val="center"/>
          </w:tcPr>
          <w:p w14:paraId="082ED5CD">
            <w:pPr>
              <w:keepNext w:val="0"/>
              <w:keepLines w:val="0"/>
              <w:pageBreakBefore w:val="0"/>
              <w:widowControl/>
              <w:suppressLineNumbers w:val="0"/>
              <w:kinsoku/>
              <w:wordWrap/>
              <w:overflowPunct/>
              <w:topLinePunct w:val="0"/>
              <w:autoSpaceDE/>
              <w:autoSpaceDN/>
              <w:bidi w:val="0"/>
              <w:adjustRightInd/>
              <w:snapToGrid/>
              <w:spacing w:line="500" w:lineRule="exact"/>
              <w:ind w:left="0"/>
              <w:jc w:val="center"/>
              <w:textAlignment w:val="auto"/>
              <w:rPr>
                <w:rFonts w:hint="eastAsia" w:ascii="仿宋" w:hAnsi="仿宋" w:eastAsia="仿宋" w:cs="仿宋"/>
                <w:sz w:val="24"/>
                <w:szCs w:val="24"/>
              </w:rPr>
            </w:pPr>
            <w:r>
              <w:rPr>
                <w:rFonts w:hint="eastAsia" w:ascii="仿宋" w:hAnsi="仿宋" w:eastAsia="仿宋" w:cs="仿宋"/>
                <w:color w:val="000000"/>
                <w:kern w:val="0"/>
                <w:sz w:val="24"/>
                <w:szCs w:val="24"/>
                <w:lang w:val="en-US" w:eastAsia="zh-CN" w:bidi="ar"/>
              </w:rPr>
              <w:t>上升烟道水冷壁</w:t>
            </w:r>
          </w:p>
          <w:p w14:paraId="2AADDAB6">
            <w:pPr>
              <w:keepNext w:val="0"/>
              <w:keepLines w:val="0"/>
              <w:pageBreakBefore w:val="0"/>
              <w:widowControl/>
              <w:suppressLineNumbers w:val="0"/>
              <w:kinsoku/>
              <w:wordWrap/>
              <w:overflowPunct/>
              <w:topLinePunct w:val="0"/>
              <w:autoSpaceDE/>
              <w:autoSpaceDN/>
              <w:bidi w:val="0"/>
              <w:adjustRightInd/>
              <w:snapToGrid/>
              <w:spacing w:line="500" w:lineRule="exact"/>
              <w:ind w:left="0"/>
              <w:jc w:val="center"/>
              <w:textAlignment w:val="auto"/>
              <w:rPr>
                <w:rFonts w:hint="eastAsia" w:ascii="仿宋" w:hAnsi="仿宋" w:eastAsia="仿宋" w:cs="仿宋"/>
                <w:b w:val="0"/>
                <w:bCs/>
                <w:sz w:val="24"/>
                <w:szCs w:val="24"/>
                <w:vertAlign w:val="baseline"/>
                <w:lang w:val="en-US" w:eastAsia="zh-CN"/>
              </w:rPr>
            </w:pPr>
            <w:r>
              <w:rPr>
                <w:rFonts w:hint="eastAsia" w:ascii="仿宋" w:hAnsi="仿宋" w:eastAsia="仿宋" w:cs="仿宋"/>
                <w:color w:val="000000"/>
                <w:kern w:val="0"/>
                <w:sz w:val="24"/>
                <w:szCs w:val="24"/>
                <w:lang w:val="en-US" w:eastAsia="zh-CN" w:bidi="ar"/>
              </w:rPr>
              <w:t>Φ51×6/20G</w:t>
            </w:r>
          </w:p>
        </w:tc>
        <w:tc>
          <w:tcPr>
            <w:tcW w:w="3384" w:type="dxa"/>
            <w:vAlign w:val="center"/>
          </w:tcPr>
          <w:p w14:paraId="1DEB0429">
            <w:pPr>
              <w:pStyle w:val="2"/>
              <w:keepNext/>
              <w:keepLines/>
              <w:pageBreakBefore w:val="0"/>
              <w:widowControl w:val="0"/>
              <w:kinsoku/>
              <w:wordWrap/>
              <w:overflowPunct/>
              <w:topLinePunct w:val="0"/>
              <w:autoSpaceDE/>
              <w:autoSpaceDN/>
              <w:bidi w:val="0"/>
              <w:adjustRightInd w:val="0"/>
              <w:snapToGrid/>
              <w:spacing w:before="0" w:beforeLines="0" w:after="0" w:afterLines="0" w:line="500" w:lineRule="exact"/>
              <w:ind w:left="0" w:firstLine="0"/>
              <w:jc w:val="both"/>
              <w:textAlignment w:val="baseline"/>
              <w:rPr>
                <w:rFonts w:hint="eastAsia" w:ascii="仿宋" w:hAnsi="仿宋" w:eastAsia="仿宋" w:cs="仿宋"/>
                <w:b w:val="0"/>
                <w:bCs/>
                <w:sz w:val="24"/>
                <w:szCs w:val="24"/>
                <w:vertAlign w:val="baseline"/>
                <w:lang w:val="en-US" w:eastAsia="zh-CN"/>
              </w:rPr>
            </w:pPr>
            <w:r>
              <w:rPr>
                <w:rFonts w:hint="eastAsia" w:ascii="仿宋" w:hAnsi="仿宋" w:eastAsia="仿宋" w:cs="仿宋"/>
                <w:b w:val="0"/>
                <w:bCs/>
                <w:sz w:val="24"/>
                <w:szCs w:val="24"/>
                <w:vertAlign w:val="baseline"/>
                <w:lang w:val="en-US" w:eastAsia="zh-CN"/>
              </w:rPr>
              <w:t>水冷壁的拆除、更换安装，并含附属设施</w:t>
            </w:r>
            <w:r>
              <w:rPr>
                <w:rFonts w:hint="eastAsia" w:ascii="仿宋" w:hAnsi="仿宋" w:eastAsia="仿宋" w:cs="仿宋"/>
                <w:color w:val="000000"/>
                <w:kern w:val="0"/>
                <w:sz w:val="24"/>
                <w:szCs w:val="24"/>
                <w:lang w:val="en-US" w:eastAsia="zh-CN" w:bidi="ar"/>
              </w:rPr>
              <w:t>如密封装置、振打装置支架、炉墙附件、外护板及支架、耐火浇筑料、保温材料等拆除及恢复、安装</w:t>
            </w:r>
          </w:p>
        </w:tc>
        <w:tc>
          <w:tcPr>
            <w:tcW w:w="1859" w:type="dxa"/>
            <w:vAlign w:val="center"/>
          </w:tcPr>
          <w:p w14:paraId="495E2723">
            <w:pPr>
              <w:keepNext w:val="0"/>
              <w:keepLines w:val="0"/>
              <w:pageBreakBefore w:val="0"/>
              <w:widowControl/>
              <w:suppressLineNumbers w:val="0"/>
              <w:kinsoku/>
              <w:wordWrap/>
              <w:overflowPunct/>
              <w:topLinePunct w:val="0"/>
              <w:autoSpaceDE/>
              <w:autoSpaceDN/>
              <w:bidi w:val="0"/>
              <w:snapToGrid/>
              <w:spacing w:line="560" w:lineRule="exact"/>
              <w:jc w:val="both"/>
              <w:rPr>
                <w:rFonts w:hint="eastAsia" w:ascii="仿宋" w:hAnsi="仿宋" w:eastAsia="仿宋" w:cs="仿宋"/>
                <w:sz w:val="24"/>
                <w:szCs w:val="24"/>
              </w:rPr>
            </w:pPr>
            <w:r>
              <w:rPr>
                <w:rFonts w:hint="eastAsia" w:ascii="仿宋" w:hAnsi="仿宋" w:eastAsia="仿宋" w:cs="仿宋"/>
                <w:color w:val="000000"/>
                <w:kern w:val="0"/>
                <w:sz w:val="24"/>
                <w:szCs w:val="24"/>
                <w:lang w:val="en-US" w:eastAsia="zh-CN" w:bidi="ar"/>
              </w:rPr>
              <w:t>图号171GY135MX</w:t>
            </w:r>
          </w:p>
          <w:p w14:paraId="5240FCCB">
            <w:pPr>
              <w:pStyle w:val="2"/>
              <w:pageBreakBefore w:val="0"/>
              <w:kinsoku/>
              <w:wordWrap/>
              <w:overflowPunct/>
              <w:topLinePunct w:val="0"/>
              <w:autoSpaceDE/>
              <w:autoSpaceDN/>
              <w:bidi w:val="0"/>
              <w:snapToGrid/>
              <w:spacing w:before="0" w:beforeLines="0" w:after="0" w:afterLines="0" w:line="560" w:lineRule="exact"/>
              <w:ind w:left="0"/>
              <w:jc w:val="center"/>
              <w:rPr>
                <w:rFonts w:hint="eastAsia" w:ascii="仿宋" w:hAnsi="仿宋" w:eastAsia="仿宋" w:cs="仿宋"/>
                <w:b w:val="0"/>
                <w:bCs/>
                <w:sz w:val="24"/>
                <w:szCs w:val="24"/>
                <w:vertAlign w:val="baseline"/>
                <w:lang w:val="en-US" w:eastAsia="zh-CN"/>
              </w:rPr>
            </w:pPr>
          </w:p>
        </w:tc>
      </w:tr>
    </w:tbl>
    <w:p w14:paraId="4F1C54AA">
      <w:pPr>
        <w:keepNext w:val="0"/>
        <w:keepLines w:val="0"/>
        <w:pageBreakBefore w:val="0"/>
        <w:numPr>
          <w:ilvl w:val="0"/>
          <w:numId w:val="0"/>
        </w:numPr>
        <w:kinsoku/>
        <w:wordWrap/>
        <w:overflowPunct w:val="0"/>
        <w:topLinePunct w:val="0"/>
        <w:autoSpaceDE/>
        <w:autoSpaceDN/>
        <w:bidi w:val="0"/>
        <w:snapToGrid/>
        <w:spacing w:line="560" w:lineRule="exact"/>
        <w:ind w:left="0" w:firstLine="321" w:firstLineChars="100"/>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B、锅炉参数</w:t>
      </w:r>
    </w:p>
    <w:p w14:paraId="4B547F8B">
      <w:pPr>
        <w:keepNext w:val="0"/>
        <w:keepLines w:val="0"/>
        <w:pageBreakBefore w:val="0"/>
        <w:numPr>
          <w:ilvl w:val="0"/>
          <w:numId w:val="0"/>
        </w:numPr>
        <w:kinsoku/>
        <w:wordWrap/>
        <w:overflowPunct w:val="0"/>
        <w:topLinePunct w:val="0"/>
        <w:autoSpaceDE/>
        <w:autoSpaceDN/>
        <w:bidi w:val="0"/>
        <w:snapToGrid/>
        <w:spacing w:line="560" w:lineRule="exact"/>
        <w:ind w:left="0" w:leftChars="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1、锅炉额定蒸发量：6.5吨/h</w:t>
      </w:r>
    </w:p>
    <w:p w14:paraId="49DACD42">
      <w:pPr>
        <w:keepNext w:val="0"/>
        <w:keepLines w:val="0"/>
        <w:pageBreakBefore w:val="0"/>
        <w:numPr>
          <w:ilvl w:val="0"/>
          <w:numId w:val="0"/>
        </w:numPr>
        <w:kinsoku/>
        <w:wordWrap/>
        <w:overflowPunct w:val="0"/>
        <w:topLinePunct w:val="0"/>
        <w:autoSpaceDE/>
        <w:autoSpaceDN/>
        <w:bidi w:val="0"/>
        <w:snapToGrid/>
        <w:spacing w:line="56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2、额定排汽压力：4.0MPa</w:t>
      </w:r>
    </w:p>
    <w:p w14:paraId="255D18F7">
      <w:pPr>
        <w:keepNext w:val="0"/>
        <w:keepLines w:val="0"/>
        <w:pageBreakBefore w:val="0"/>
        <w:numPr>
          <w:ilvl w:val="0"/>
          <w:numId w:val="0"/>
        </w:numPr>
        <w:kinsoku/>
        <w:wordWrap/>
        <w:overflowPunct w:val="0"/>
        <w:topLinePunct w:val="0"/>
        <w:autoSpaceDE/>
        <w:autoSpaceDN/>
        <w:bidi w:val="0"/>
        <w:snapToGrid/>
        <w:spacing w:line="560" w:lineRule="exact"/>
        <w:ind w:left="0" w:leftChars="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3、额定烟气温度1200℃</w:t>
      </w:r>
    </w:p>
    <w:p w14:paraId="50B2E121">
      <w:pPr>
        <w:keepNext w:val="0"/>
        <w:keepLines w:val="0"/>
        <w:pageBreakBefore w:val="0"/>
        <w:numPr>
          <w:ilvl w:val="0"/>
          <w:numId w:val="0"/>
        </w:numPr>
        <w:kinsoku/>
        <w:wordWrap/>
        <w:overflowPunct w:val="0"/>
        <w:topLinePunct w:val="0"/>
        <w:autoSpaceDE/>
        <w:autoSpaceDN/>
        <w:bidi w:val="0"/>
        <w:snapToGrid/>
        <w:spacing w:line="560" w:lineRule="exact"/>
        <w:ind w:left="0" w:leftChars="0" w:firstLine="643" w:firstLineChars="200"/>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报价单位负责制造、运输、卸车、拆除、安装、无损检测、报检等所有工作，采购人只负责提供施工场地、水电等配合工作。</w:t>
      </w:r>
    </w:p>
    <w:p w14:paraId="7FBA7B38">
      <w:pPr>
        <w:keepNext w:val="0"/>
        <w:keepLines w:val="0"/>
        <w:pageBreakBefore w:val="0"/>
        <w:kinsoku/>
        <w:wordWrap/>
        <w:topLinePunct w:val="0"/>
        <w:autoSpaceDE/>
        <w:autoSpaceDN/>
        <w:bidi w:val="0"/>
        <w:snapToGrid/>
        <w:spacing w:line="560" w:lineRule="exact"/>
        <w:ind w:left="0"/>
        <w:jc w:val="left"/>
        <w:textAlignment w:val="auto"/>
        <w:rPr>
          <w:rFonts w:ascii="仿宋" w:hAnsi="仿宋" w:eastAsia="仿宋" w:cs="仿宋"/>
          <w:sz w:val="32"/>
          <w:szCs w:val="32"/>
        </w:rPr>
      </w:pPr>
      <w:r>
        <w:rPr>
          <w:rFonts w:hint="eastAsia" w:ascii="仿宋" w:hAnsi="仿宋" w:eastAsia="仿宋" w:cs="仿宋"/>
          <w:sz w:val="32"/>
          <w:szCs w:val="32"/>
        </w:rPr>
        <w:t>（六）质量要求：</w:t>
      </w:r>
    </w:p>
    <w:p w14:paraId="66260102">
      <w:pPr>
        <w:keepNext w:val="0"/>
        <w:keepLines w:val="0"/>
        <w:pageBreakBefore w:val="0"/>
        <w:numPr>
          <w:ilvl w:val="0"/>
          <w:numId w:val="0"/>
        </w:numPr>
        <w:kinsoku/>
        <w:wordWrap/>
        <w:overflowPunct w:val="0"/>
        <w:topLinePunct w:val="0"/>
        <w:autoSpaceDE/>
        <w:autoSpaceDN/>
        <w:bidi w:val="0"/>
        <w:snapToGrid/>
        <w:spacing w:line="560" w:lineRule="exact"/>
        <w:ind w:left="0" w:firstLine="640" w:firstLineChars="200"/>
        <w:textAlignment w:val="auto"/>
        <w:rPr>
          <w:rFonts w:hint="eastAsia" w:eastAsia="仿宋"/>
          <w:lang w:val="en-US" w:eastAsia="zh-CN"/>
        </w:rPr>
      </w:pPr>
      <w:r>
        <w:rPr>
          <w:rFonts w:hint="eastAsia" w:ascii="仿宋" w:hAnsi="仿宋" w:eastAsia="仿宋" w:cs="仿宋"/>
          <w:sz w:val="32"/>
          <w:szCs w:val="32"/>
        </w:rPr>
        <w:t>1、产品的设计及制造必须严格按照最新行业标准执行</w:t>
      </w:r>
      <w:r>
        <w:rPr>
          <w:rFonts w:hint="eastAsia" w:ascii="仿宋" w:hAnsi="仿宋" w:eastAsia="仿宋" w:cs="仿宋"/>
          <w:sz w:val="32"/>
          <w:szCs w:val="32"/>
          <w:lang w:eastAsia="zh-CN"/>
        </w:rPr>
        <w:t>。</w:t>
      </w:r>
    </w:p>
    <w:p w14:paraId="79C7C928">
      <w:pPr>
        <w:keepNext w:val="0"/>
        <w:keepLines w:val="0"/>
        <w:pageBreakBefore w:val="0"/>
        <w:kinsoku/>
        <w:wordWrap/>
        <w:overflowPunct w:val="0"/>
        <w:topLinePunct w:val="0"/>
        <w:autoSpaceDE/>
        <w:autoSpaceDN/>
        <w:bidi w:val="0"/>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2、所供产品必须有合格证、使用说明书、出厂质量检验报告单等，否则按不合格品对待。</w:t>
      </w:r>
    </w:p>
    <w:p w14:paraId="16F46ABC">
      <w:pPr>
        <w:keepNext w:val="0"/>
        <w:keepLines w:val="0"/>
        <w:pageBreakBefore w:val="0"/>
        <w:kinsoku/>
        <w:wordWrap/>
        <w:overflowPunct w:val="0"/>
        <w:topLinePunct w:val="0"/>
        <w:autoSpaceDE/>
        <w:autoSpaceDN/>
        <w:bidi w:val="0"/>
        <w:snapToGrid/>
        <w:spacing w:line="560" w:lineRule="exact"/>
        <w:ind w:left="0" w:firstLine="640" w:firstLineChars="200"/>
        <w:textAlignment w:val="auto"/>
        <w:rPr>
          <w:rFonts w:ascii="仿宋" w:hAnsi="仿宋" w:eastAsia="仿宋" w:cs="仿宋"/>
          <w:bCs/>
          <w:sz w:val="32"/>
          <w:szCs w:val="32"/>
        </w:rPr>
      </w:pPr>
      <w:r>
        <w:rPr>
          <w:rFonts w:hint="eastAsia" w:ascii="仿宋" w:hAnsi="仿宋" w:eastAsia="仿宋" w:cs="仿宋"/>
          <w:sz w:val="32"/>
          <w:szCs w:val="32"/>
        </w:rPr>
        <w:t>3、质量保证期：质保期</w:t>
      </w:r>
      <w:r>
        <w:rPr>
          <w:rFonts w:hint="eastAsia" w:ascii="仿宋" w:hAnsi="仿宋" w:eastAsia="仿宋" w:cs="仿宋"/>
          <w:sz w:val="32"/>
          <w:szCs w:val="32"/>
          <w:lang w:val="en-US" w:eastAsia="zh-CN"/>
        </w:rPr>
        <w:t>一年</w:t>
      </w:r>
      <w:r>
        <w:rPr>
          <w:rFonts w:hint="eastAsia" w:ascii="仿宋" w:hAnsi="仿宋" w:eastAsia="仿宋" w:cs="仿宋"/>
          <w:sz w:val="32"/>
          <w:szCs w:val="32"/>
        </w:rPr>
        <w:t>，在质保期内出现货物质量问题</w:t>
      </w:r>
      <w:r>
        <w:rPr>
          <w:rFonts w:hint="eastAsia" w:ascii="仿宋" w:hAnsi="仿宋" w:eastAsia="仿宋" w:cs="仿宋"/>
          <w:sz w:val="32"/>
          <w:szCs w:val="32"/>
          <w:lang w:val="en-US" w:eastAsia="zh-CN"/>
        </w:rPr>
        <w:t>供应</w:t>
      </w:r>
      <w:r>
        <w:rPr>
          <w:rFonts w:hint="eastAsia" w:ascii="仿宋" w:hAnsi="仿宋" w:eastAsia="仿宋" w:cs="仿宋"/>
          <w:sz w:val="32"/>
          <w:szCs w:val="32"/>
        </w:rPr>
        <w:t>方无条件退换，如因货物质量问题给采购人造成损失的，供货方应承担相应的赔偿责任。</w:t>
      </w:r>
    </w:p>
    <w:p w14:paraId="39D5CAE6">
      <w:pPr>
        <w:keepNext w:val="0"/>
        <w:keepLines w:val="0"/>
        <w:pageBreakBefore w:val="0"/>
        <w:kinsoku/>
        <w:wordWrap/>
        <w:overflowPunct w:val="0"/>
        <w:topLinePunct w:val="0"/>
        <w:autoSpaceDE/>
        <w:autoSpaceDN/>
        <w:bidi w:val="0"/>
        <w:adjustRightInd w:val="0"/>
        <w:snapToGrid/>
        <w:spacing w:line="560" w:lineRule="exact"/>
        <w:ind w:left="0" w:firstLine="320" w:firstLineChars="100"/>
        <w:textAlignment w:val="auto"/>
        <w:rPr>
          <w:rFonts w:hint="eastAsia" w:ascii="仿宋" w:hAnsi="仿宋" w:eastAsia="仿宋" w:cs="仿宋"/>
          <w:bCs/>
          <w:sz w:val="32"/>
          <w:szCs w:val="32"/>
        </w:rPr>
      </w:pPr>
      <w:bookmarkStart w:id="8" w:name="_Toc29895"/>
      <w:bookmarkStart w:id="9" w:name="_Toc14688"/>
      <w:bookmarkStart w:id="10" w:name="_Toc33795778"/>
      <w:bookmarkStart w:id="11" w:name="_Toc14196"/>
      <w:r>
        <w:rPr>
          <w:rFonts w:hint="eastAsia" w:ascii="仿宋" w:hAnsi="仿宋" w:eastAsia="仿宋" w:cs="仿宋"/>
          <w:bCs/>
          <w:sz w:val="32"/>
          <w:szCs w:val="32"/>
        </w:rPr>
        <w:t>（七）运输方式及到达站港和费用负担：汽车运输，包装。运输费用由供方承担，运输车辆应加装符合国家安全管理需要的防火安全设备，如灭火器、防火罩等，否则不得进入采购人厂内。</w:t>
      </w:r>
    </w:p>
    <w:p w14:paraId="57FD71B1">
      <w:pPr>
        <w:keepNext w:val="0"/>
        <w:keepLines w:val="0"/>
        <w:pageBreakBefore w:val="0"/>
        <w:kinsoku/>
        <w:wordWrap/>
        <w:overflowPunct w:val="0"/>
        <w:topLinePunct w:val="0"/>
        <w:autoSpaceDE/>
        <w:autoSpaceDN/>
        <w:bidi w:val="0"/>
        <w:adjustRightInd w:val="0"/>
        <w:snapToGrid/>
        <w:spacing w:line="560" w:lineRule="exact"/>
        <w:ind w:left="0" w:firstLine="320" w:firstLineChars="100"/>
        <w:textAlignment w:val="auto"/>
        <w:rPr>
          <w:rFonts w:hint="eastAsia" w:ascii="仿宋" w:hAnsi="仿宋" w:eastAsia="仿宋" w:cs="仿宋"/>
          <w:bCs/>
          <w:sz w:val="32"/>
          <w:szCs w:val="32"/>
        </w:rPr>
      </w:pPr>
      <w:r>
        <w:rPr>
          <w:rFonts w:hint="eastAsia" w:ascii="仿宋" w:hAnsi="仿宋" w:eastAsia="仿宋" w:cs="仿宋"/>
          <w:bCs/>
          <w:sz w:val="32"/>
          <w:szCs w:val="32"/>
        </w:rPr>
        <w:t>（八）包装标准，包装物的供应及回收：标准包装，包装物不回收。</w:t>
      </w:r>
    </w:p>
    <w:p w14:paraId="7D1B7C9E">
      <w:pPr>
        <w:keepNext w:val="0"/>
        <w:keepLines w:val="0"/>
        <w:pageBreakBefore w:val="0"/>
        <w:kinsoku/>
        <w:wordWrap/>
        <w:overflowPunct w:val="0"/>
        <w:topLinePunct w:val="0"/>
        <w:autoSpaceDE/>
        <w:autoSpaceDN/>
        <w:bidi w:val="0"/>
        <w:adjustRightInd w:val="0"/>
        <w:snapToGrid/>
        <w:spacing w:line="560" w:lineRule="exact"/>
        <w:ind w:left="0" w:firstLine="320" w:firstLineChars="100"/>
        <w:textAlignment w:val="auto"/>
        <w:rPr>
          <w:rFonts w:hint="eastAsia" w:ascii="仿宋" w:hAnsi="仿宋" w:eastAsia="仿宋" w:cs="仿宋"/>
          <w:sz w:val="32"/>
          <w:szCs w:val="32"/>
        </w:rPr>
      </w:pPr>
      <w:r>
        <w:rPr>
          <w:rFonts w:hint="eastAsia" w:ascii="仿宋" w:hAnsi="仿宋" w:eastAsia="仿宋" w:cs="仿宋"/>
          <w:bCs/>
          <w:sz w:val="32"/>
          <w:szCs w:val="32"/>
        </w:rPr>
        <w:t>（九）验收标准：</w:t>
      </w:r>
      <w:r>
        <w:rPr>
          <w:rFonts w:hint="eastAsia" w:ascii="仿宋" w:hAnsi="仿宋" w:eastAsia="仿宋" w:cs="仿宋"/>
          <w:sz w:val="32"/>
          <w:szCs w:val="32"/>
        </w:rPr>
        <w:t>按合同</w:t>
      </w:r>
      <w:r>
        <w:rPr>
          <w:rFonts w:hint="eastAsia" w:ascii="仿宋" w:hAnsi="仿宋" w:eastAsia="仿宋" w:cs="仿宋"/>
          <w:sz w:val="32"/>
          <w:szCs w:val="32"/>
          <w:lang w:eastAsia="zh-CN"/>
        </w:rPr>
        <w:t>、</w:t>
      </w:r>
      <w:r>
        <w:rPr>
          <w:rFonts w:hint="eastAsia" w:ascii="仿宋" w:hAnsi="仿宋" w:eastAsia="仿宋" w:cs="仿宋"/>
          <w:sz w:val="32"/>
          <w:szCs w:val="32"/>
        </w:rPr>
        <w:t>技术协议</w:t>
      </w:r>
      <w:r>
        <w:rPr>
          <w:rFonts w:hint="eastAsia" w:ascii="仿宋" w:hAnsi="仿宋" w:eastAsia="仿宋" w:cs="仿宋"/>
          <w:sz w:val="32"/>
          <w:szCs w:val="32"/>
          <w:lang w:val="en-US" w:eastAsia="zh-CN"/>
        </w:rPr>
        <w:t>以及</w:t>
      </w:r>
      <w:r>
        <w:rPr>
          <w:rFonts w:hint="eastAsia" w:ascii="仿宋" w:hAnsi="仿宋" w:eastAsia="仿宋" w:cs="仿宋"/>
          <w:bCs/>
          <w:sz w:val="32"/>
          <w:szCs w:val="32"/>
        </w:rPr>
        <w:t>第六款质量标准验收</w:t>
      </w:r>
    </w:p>
    <w:p w14:paraId="417688B3">
      <w:pPr>
        <w:keepNext w:val="0"/>
        <w:keepLines w:val="0"/>
        <w:pageBreakBefore w:val="0"/>
        <w:kinsoku/>
        <w:wordWrap/>
        <w:topLinePunct w:val="0"/>
        <w:autoSpaceDE/>
        <w:autoSpaceDN/>
        <w:bidi w:val="0"/>
        <w:snapToGrid/>
        <w:spacing w:line="560" w:lineRule="exact"/>
        <w:ind w:left="0" w:firstLine="320" w:firstLineChars="100"/>
        <w:jc w:val="left"/>
        <w:textAlignment w:val="auto"/>
        <w:rPr>
          <w:rFonts w:ascii="仿宋" w:hAnsi="仿宋" w:eastAsia="仿宋" w:cs="仿宋"/>
          <w:sz w:val="24"/>
        </w:rPr>
      </w:pPr>
      <w:r>
        <w:rPr>
          <w:rFonts w:hint="eastAsia" w:ascii="仿宋" w:hAnsi="仿宋" w:eastAsia="仿宋" w:cs="仿宋"/>
          <w:sz w:val="32"/>
          <w:szCs w:val="32"/>
        </w:rPr>
        <w:t>（十）付款方式：合同生效后，</w:t>
      </w:r>
      <w:r>
        <w:rPr>
          <w:rFonts w:hint="eastAsia" w:ascii="仿宋" w:hAnsi="仿宋" w:eastAsia="仿宋" w:cs="仿宋"/>
          <w:sz w:val="32"/>
          <w:szCs w:val="32"/>
          <w:lang w:eastAsia="zh-CN"/>
        </w:rPr>
        <w:t>乙方</w:t>
      </w:r>
      <w:r>
        <w:rPr>
          <w:rFonts w:hint="eastAsia" w:ascii="仿宋" w:hAnsi="仿宋" w:eastAsia="仿宋" w:cs="仿宋"/>
          <w:sz w:val="32"/>
          <w:szCs w:val="32"/>
        </w:rPr>
        <w:t>开具合同总额30%的增值税发票，</w:t>
      </w:r>
      <w:r>
        <w:rPr>
          <w:rFonts w:hint="eastAsia" w:ascii="仿宋" w:hAnsi="仿宋" w:eastAsia="仿宋" w:cs="仿宋"/>
          <w:sz w:val="32"/>
          <w:szCs w:val="32"/>
          <w:lang w:eastAsia="zh-CN"/>
        </w:rPr>
        <w:t>甲方</w:t>
      </w:r>
      <w:r>
        <w:rPr>
          <w:rFonts w:hint="eastAsia" w:ascii="仿宋" w:hAnsi="仿宋" w:eastAsia="仿宋" w:cs="仿宋"/>
          <w:sz w:val="32"/>
          <w:szCs w:val="32"/>
        </w:rPr>
        <w:t>预付合同总额的30%；</w:t>
      </w:r>
      <w:r>
        <w:rPr>
          <w:rFonts w:hint="eastAsia" w:ascii="仿宋" w:hAnsi="仿宋" w:eastAsia="仿宋" w:cs="仿宋"/>
          <w:sz w:val="32"/>
          <w:szCs w:val="32"/>
          <w:lang w:val="en-US" w:eastAsia="zh-CN"/>
        </w:rPr>
        <w:t>到货后，初验合格，</w:t>
      </w:r>
      <w:r>
        <w:rPr>
          <w:rFonts w:hint="eastAsia" w:ascii="仿宋" w:hAnsi="仿宋" w:eastAsia="仿宋" w:cs="仿宋"/>
          <w:sz w:val="32"/>
          <w:szCs w:val="32"/>
          <w:lang w:eastAsia="zh-CN"/>
        </w:rPr>
        <w:t>乙方</w:t>
      </w:r>
      <w:r>
        <w:rPr>
          <w:rFonts w:hint="eastAsia" w:ascii="仿宋" w:hAnsi="仿宋" w:eastAsia="仿宋" w:cs="仿宋"/>
          <w:sz w:val="32"/>
          <w:szCs w:val="32"/>
        </w:rPr>
        <w:t>开具合同总额</w:t>
      </w:r>
      <w:r>
        <w:rPr>
          <w:rFonts w:hint="eastAsia" w:ascii="仿宋" w:hAnsi="仿宋" w:eastAsia="仿宋" w:cs="仿宋"/>
          <w:sz w:val="32"/>
          <w:szCs w:val="32"/>
          <w:lang w:val="en-US" w:eastAsia="zh-CN"/>
        </w:rPr>
        <w:t>3</w:t>
      </w:r>
      <w:r>
        <w:rPr>
          <w:rFonts w:hint="eastAsia" w:ascii="仿宋" w:hAnsi="仿宋" w:eastAsia="仿宋" w:cs="仿宋"/>
          <w:sz w:val="32"/>
          <w:szCs w:val="32"/>
        </w:rPr>
        <w:t>0%的增值税发票，</w:t>
      </w:r>
      <w:r>
        <w:rPr>
          <w:rFonts w:hint="eastAsia" w:ascii="仿宋" w:hAnsi="仿宋" w:eastAsia="仿宋" w:cs="仿宋"/>
          <w:sz w:val="32"/>
          <w:szCs w:val="32"/>
          <w:lang w:eastAsia="zh-CN"/>
        </w:rPr>
        <w:t>甲方</w:t>
      </w:r>
      <w:r>
        <w:rPr>
          <w:rFonts w:hint="eastAsia" w:ascii="仿宋" w:hAnsi="仿宋" w:eastAsia="仿宋" w:cs="仿宋"/>
          <w:sz w:val="32"/>
          <w:szCs w:val="32"/>
        </w:rPr>
        <w:t>再付合同总额的</w:t>
      </w:r>
      <w:r>
        <w:rPr>
          <w:rFonts w:hint="eastAsia" w:ascii="仿宋" w:hAnsi="仿宋" w:eastAsia="仿宋" w:cs="仿宋"/>
          <w:sz w:val="32"/>
          <w:szCs w:val="32"/>
          <w:lang w:val="en-US" w:eastAsia="zh-CN"/>
        </w:rPr>
        <w:t>30</w:t>
      </w:r>
      <w:r>
        <w:rPr>
          <w:rFonts w:hint="eastAsia" w:ascii="仿宋" w:hAnsi="仿宋" w:eastAsia="仿宋" w:cs="仿宋"/>
          <w:sz w:val="32"/>
          <w:szCs w:val="32"/>
        </w:rPr>
        <w:t>%；</w:t>
      </w:r>
      <w:r>
        <w:rPr>
          <w:rFonts w:hint="eastAsia" w:ascii="仿宋" w:hAnsi="仿宋" w:eastAsia="仿宋" w:cs="仿宋"/>
          <w:sz w:val="32"/>
          <w:szCs w:val="32"/>
          <w:lang w:val="en-US" w:eastAsia="zh-CN"/>
        </w:rPr>
        <w:t>更换完毕后，水压试验合格，</w:t>
      </w:r>
      <w:r>
        <w:rPr>
          <w:rFonts w:hint="eastAsia" w:ascii="仿宋" w:hAnsi="仿宋" w:eastAsia="仿宋" w:cs="仿宋"/>
          <w:sz w:val="32"/>
          <w:szCs w:val="32"/>
          <w:lang w:eastAsia="zh-CN"/>
        </w:rPr>
        <w:t>乙方</w:t>
      </w:r>
      <w:r>
        <w:rPr>
          <w:rFonts w:hint="eastAsia" w:ascii="仿宋" w:hAnsi="仿宋" w:eastAsia="仿宋" w:cs="仿宋"/>
          <w:sz w:val="32"/>
          <w:szCs w:val="32"/>
        </w:rPr>
        <w:t>开具合同总额</w:t>
      </w:r>
      <w:r>
        <w:rPr>
          <w:rFonts w:hint="eastAsia" w:ascii="仿宋" w:hAnsi="仿宋" w:eastAsia="仿宋" w:cs="仿宋"/>
          <w:sz w:val="32"/>
          <w:szCs w:val="32"/>
          <w:lang w:val="en-US" w:eastAsia="zh-CN"/>
        </w:rPr>
        <w:t>4</w:t>
      </w:r>
      <w:r>
        <w:rPr>
          <w:rFonts w:hint="eastAsia" w:ascii="仿宋" w:hAnsi="仿宋" w:eastAsia="仿宋" w:cs="仿宋"/>
          <w:sz w:val="32"/>
          <w:szCs w:val="32"/>
        </w:rPr>
        <w:t>0%的增值税发票</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甲方再付合同总额的35%，</w:t>
      </w:r>
      <w:r>
        <w:rPr>
          <w:rFonts w:hint="eastAsia" w:ascii="仿宋" w:hAnsi="仿宋" w:eastAsia="仿宋" w:cs="仿宋"/>
          <w:sz w:val="32"/>
          <w:szCs w:val="32"/>
        </w:rPr>
        <w:t>留</w:t>
      </w:r>
      <w:r>
        <w:rPr>
          <w:rFonts w:hint="eastAsia" w:ascii="仿宋" w:hAnsi="仿宋" w:eastAsia="仿宋" w:cs="仿宋"/>
          <w:sz w:val="32"/>
          <w:szCs w:val="32"/>
          <w:lang w:val="en-US" w:eastAsia="zh-CN"/>
        </w:rPr>
        <w:t>5</w:t>
      </w:r>
      <w:r>
        <w:rPr>
          <w:rFonts w:hint="eastAsia" w:ascii="仿宋" w:hAnsi="仿宋" w:eastAsia="仿宋" w:cs="仿宋"/>
          <w:sz w:val="32"/>
          <w:szCs w:val="32"/>
        </w:rPr>
        <w:t>%作为质保金，质保期满无质量问题需方一次付清。</w:t>
      </w:r>
      <w:r>
        <w:rPr>
          <w:rFonts w:hint="eastAsia" w:ascii="仿宋" w:hAnsi="仿宋" w:eastAsia="仿宋" w:cs="仿宋"/>
          <w:b/>
          <w:bCs/>
          <w:sz w:val="32"/>
          <w:szCs w:val="32"/>
          <w:lang w:eastAsia="zh-CN"/>
        </w:rPr>
        <w:t>乙方</w:t>
      </w:r>
      <w:r>
        <w:rPr>
          <w:rFonts w:hint="eastAsia" w:ascii="仿宋" w:hAnsi="仿宋" w:eastAsia="仿宋" w:cs="仿宋"/>
          <w:b/>
          <w:bCs/>
          <w:sz w:val="32"/>
          <w:szCs w:val="32"/>
        </w:rPr>
        <w:t>可按付款进度开具发票，也可一次性开具全额发票，但必须先票后款。</w:t>
      </w:r>
    </w:p>
    <w:p w14:paraId="03A7A7D6">
      <w:pPr>
        <w:keepNext w:val="0"/>
        <w:keepLines w:val="0"/>
        <w:pageBreakBefore w:val="0"/>
        <w:kinsoku/>
        <w:wordWrap/>
        <w:overflowPunct w:val="0"/>
        <w:topLinePunct w:val="0"/>
        <w:autoSpaceDE/>
        <w:autoSpaceDN/>
        <w:bidi w:val="0"/>
        <w:snapToGrid/>
        <w:spacing w:line="560" w:lineRule="exact"/>
        <w:ind w:left="0" w:firstLine="320" w:firstLineChars="100"/>
        <w:textAlignment w:val="auto"/>
        <w:rPr>
          <w:rFonts w:ascii="仿宋" w:hAnsi="仿宋" w:eastAsia="仿宋" w:cs="仿宋"/>
          <w:sz w:val="32"/>
          <w:szCs w:val="32"/>
        </w:rPr>
      </w:pPr>
      <w:r>
        <w:rPr>
          <w:rFonts w:hint="eastAsia" w:ascii="仿宋" w:hAnsi="仿宋" w:eastAsia="仿宋" w:cs="仿宋"/>
          <w:sz w:val="32"/>
          <w:szCs w:val="32"/>
        </w:rPr>
        <w:t>（十一）供应商资格和履约能力要求</w:t>
      </w:r>
      <w:bookmarkEnd w:id="8"/>
      <w:bookmarkEnd w:id="9"/>
      <w:bookmarkEnd w:id="10"/>
      <w:bookmarkEnd w:id="11"/>
      <w:r>
        <w:rPr>
          <w:rFonts w:hint="eastAsia" w:ascii="仿宋" w:hAnsi="仿宋" w:eastAsia="仿宋" w:cs="仿宋"/>
          <w:sz w:val="32"/>
          <w:szCs w:val="32"/>
        </w:rPr>
        <w:t>：</w:t>
      </w:r>
    </w:p>
    <w:p w14:paraId="5EF9E737">
      <w:pPr>
        <w:keepNext w:val="0"/>
        <w:keepLines w:val="0"/>
        <w:pageBreakBefore w:val="0"/>
        <w:kinsoku/>
        <w:wordWrap/>
        <w:overflowPunct w:val="0"/>
        <w:topLinePunct w:val="0"/>
        <w:autoSpaceDE/>
        <w:autoSpaceDN/>
        <w:bidi w:val="0"/>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1.资质要求：</w:t>
      </w:r>
    </w:p>
    <w:p w14:paraId="75F3A5EC">
      <w:pPr>
        <w:keepNext w:val="0"/>
        <w:keepLines w:val="0"/>
        <w:pageBreakBefore w:val="0"/>
        <w:kinsoku/>
        <w:wordWrap/>
        <w:overflowPunct w:val="0"/>
        <w:topLinePunct w:val="0"/>
        <w:autoSpaceDE/>
        <w:autoSpaceDN/>
        <w:bidi w:val="0"/>
        <w:snapToGrid/>
        <w:spacing w:line="560" w:lineRule="exact"/>
        <w:ind w:left="0" w:firstLine="320" w:firstLineChars="100"/>
        <w:textAlignment w:val="auto"/>
        <w:rPr>
          <w:rFonts w:hint="eastAsia" w:ascii="仿宋" w:hAnsi="仿宋" w:eastAsia="仿宋" w:cs="仿宋"/>
          <w:sz w:val="32"/>
          <w:szCs w:val="32"/>
        </w:rPr>
      </w:pPr>
      <w:bookmarkStart w:id="12" w:name="_Toc5888450"/>
      <w:r>
        <w:rPr>
          <w:rFonts w:hint="eastAsia" w:ascii="仿宋" w:hAnsi="仿宋" w:eastAsia="仿宋" w:cs="仿宋"/>
          <w:sz w:val="32"/>
          <w:szCs w:val="32"/>
          <w:lang w:val="en-US" w:eastAsia="zh-CN"/>
        </w:rPr>
        <w:t>1.1供应商</w:t>
      </w:r>
      <w:r>
        <w:rPr>
          <w:rFonts w:hint="eastAsia" w:ascii="仿宋" w:hAnsi="仿宋" w:eastAsia="仿宋" w:cs="仿宋"/>
          <w:sz w:val="32"/>
          <w:szCs w:val="32"/>
        </w:rPr>
        <w:t>为具有独立法人资格的制造商，能提供本次</w:t>
      </w:r>
      <w:r>
        <w:rPr>
          <w:rFonts w:hint="eastAsia" w:ascii="仿宋" w:hAnsi="仿宋" w:eastAsia="仿宋" w:cs="仿宋"/>
          <w:sz w:val="32"/>
          <w:szCs w:val="32"/>
          <w:lang w:val="en-US" w:eastAsia="zh-CN"/>
        </w:rPr>
        <w:t>询比采购</w:t>
      </w:r>
      <w:r>
        <w:rPr>
          <w:rFonts w:hint="eastAsia" w:ascii="仿宋" w:hAnsi="仿宋" w:eastAsia="仿宋" w:cs="仿宋"/>
          <w:sz w:val="32"/>
          <w:szCs w:val="32"/>
        </w:rPr>
        <w:t>所需货物及服务；</w:t>
      </w:r>
      <w:bookmarkEnd w:id="12"/>
    </w:p>
    <w:p w14:paraId="3F5833B0">
      <w:pPr>
        <w:keepNext w:val="0"/>
        <w:keepLines w:val="0"/>
        <w:pageBreakBefore w:val="0"/>
        <w:kinsoku/>
        <w:wordWrap/>
        <w:overflowPunct w:val="0"/>
        <w:topLinePunct w:val="0"/>
        <w:autoSpaceDE/>
        <w:autoSpaceDN/>
        <w:bidi w:val="0"/>
        <w:snapToGrid/>
        <w:spacing w:line="560" w:lineRule="exact"/>
        <w:ind w:left="0" w:firstLine="320" w:firstLineChars="1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1.2</w:t>
      </w:r>
      <w:r>
        <w:rPr>
          <w:rFonts w:hint="eastAsia" w:ascii="仿宋" w:hAnsi="仿宋" w:eastAsia="仿宋" w:cs="仿宋"/>
          <w:sz w:val="32"/>
          <w:szCs w:val="32"/>
        </w:rPr>
        <w:t>提供有效的《中华人民共和国特种设备制造许可证（</w:t>
      </w:r>
      <w:r>
        <w:rPr>
          <w:rFonts w:hint="eastAsia" w:ascii="仿宋" w:hAnsi="仿宋" w:eastAsia="仿宋" w:cs="仿宋"/>
          <w:sz w:val="32"/>
          <w:szCs w:val="32"/>
          <w:lang w:val="en-US" w:eastAsia="zh-CN"/>
        </w:rPr>
        <w:t>锅炉</w:t>
      </w:r>
      <w:r>
        <w:rPr>
          <w:rFonts w:hint="eastAsia" w:ascii="仿宋" w:hAnsi="仿宋" w:eastAsia="仿宋" w:cs="仿宋"/>
          <w:sz w:val="32"/>
          <w:szCs w:val="32"/>
        </w:rPr>
        <w:t>）》</w:t>
      </w:r>
      <w:r>
        <w:rPr>
          <w:rFonts w:hint="eastAsia" w:ascii="仿宋" w:hAnsi="仿宋" w:eastAsia="仿宋" w:cs="仿宋"/>
          <w:sz w:val="32"/>
          <w:szCs w:val="32"/>
          <w:lang w:val="en-US" w:eastAsia="zh-CN"/>
        </w:rPr>
        <w:t>A级</w:t>
      </w:r>
      <w:r>
        <w:rPr>
          <w:rFonts w:hint="eastAsia" w:ascii="仿宋" w:hAnsi="仿宋" w:eastAsia="仿宋" w:cs="仿宋"/>
          <w:sz w:val="32"/>
          <w:szCs w:val="32"/>
        </w:rPr>
        <w:t>、《中华人民共和国特种设备安装改造维修许可证（</w:t>
      </w:r>
      <w:r>
        <w:rPr>
          <w:rFonts w:hint="eastAsia" w:ascii="仿宋" w:hAnsi="仿宋" w:eastAsia="仿宋" w:cs="仿宋"/>
          <w:sz w:val="32"/>
          <w:szCs w:val="32"/>
          <w:lang w:val="en-US" w:eastAsia="zh-CN"/>
        </w:rPr>
        <w:t>锅炉</w:t>
      </w:r>
      <w:r>
        <w:rPr>
          <w:rFonts w:hint="eastAsia" w:ascii="仿宋" w:hAnsi="仿宋" w:eastAsia="仿宋" w:cs="仿宋"/>
          <w:sz w:val="32"/>
          <w:szCs w:val="32"/>
        </w:rPr>
        <w:t>）》</w:t>
      </w:r>
      <w:r>
        <w:rPr>
          <w:rFonts w:hint="eastAsia" w:ascii="仿宋" w:hAnsi="仿宋" w:eastAsia="仿宋" w:cs="仿宋"/>
          <w:sz w:val="32"/>
          <w:szCs w:val="32"/>
          <w:lang w:val="en-US" w:eastAsia="zh-CN"/>
        </w:rPr>
        <w:t>A级。</w:t>
      </w:r>
    </w:p>
    <w:p w14:paraId="64BEE5D2">
      <w:pPr>
        <w:keepNext w:val="0"/>
        <w:keepLines w:val="0"/>
        <w:pageBreakBefore w:val="0"/>
        <w:kinsoku/>
        <w:wordWrap/>
        <w:overflowPunct w:val="0"/>
        <w:topLinePunct w:val="0"/>
        <w:autoSpaceDE/>
        <w:autoSpaceDN/>
        <w:bidi w:val="0"/>
        <w:snapToGrid/>
        <w:spacing w:line="560" w:lineRule="exact"/>
        <w:ind w:left="0" w:firstLine="320" w:firstLineChars="1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.3</w:t>
      </w:r>
      <w:r>
        <w:rPr>
          <w:rFonts w:hint="eastAsia" w:ascii="仿宋" w:hAnsi="仿宋" w:eastAsia="仿宋" w:cs="仿宋"/>
          <w:sz w:val="32"/>
          <w:szCs w:val="32"/>
          <w:lang w:val="en-US" w:eastAsia="zh-CN"/>
        </w:rPr>
        <w:t>锅炉</w:t>
      </w:r>
      <w:r>
        <w:rPr>
          <w:rFonts w:hint="eastAsia" w:ascii="仿宋" w:hAnsi="仿宋" w:eastAsia="仿宋" w:cs="仿宋"/>
          <w:sz w:val="32"/>
          <w:szCs w:val="32"/>
        </w:rPr>
        <w:t>安装调试人员须具备特种设备作业人员资格证书；</w:t>
      </w:r>
    </w:p>
    <w:p w14:paraId="4A49B1F4">
      <w:pPr>
        <w:keepNext w:val="0"/>
        <w:keepLines w:val="0"/>
        <w:pageBreakBefore w:val="0"/>
        <w:kinsoku/>
        <w:wordWrap/>
        <w:overflowPunct w:val="0"/>
        <w:topLinePunct w:val="0"/>
        <w:autoSpaceDE/>
        <w:autoSpaceDN/>
        <w:bidi w:val="0"/>
        <w:snapToGrid/>
        <w:spacing w:line="560" w:lineRule="exact"/>
        <w:ind w:left="0" w:firstLine="320" w:firstLineChars="1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.4 单位负责人为同一人或者存在控股、管理关系的不同单位，都不得在本招标项目中同时投标；</w:t>
      </w:r>
    </w:p>
    <w:p w14:paraId="75DEFA19">
      <w:pPr>
        <w:keepNext w:val="0"/>
        <w:keepLines w:val="0"/>
        <w:pageBreakBefore w:val="0"/>
        <w:kinsoku/>
        <w:wordWrap/>
        <w:overflowPunct w:val="0"/>
        <w:topLinePunct w:val="0"/>
        <w:autoSpaceDE/>
        <w:autoSpaceDN/>
        <w:bidi w:val="0"/>
        <w:snapToGrid/>
        <w:spacing w:line="560" w:lineRule="exact"/>
        <w:ind w:left="0" w:firstLine="320" w:firstLineChars="1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1.5</w:t>
      </w:r>
      <w:r>
        <w:rPr>
          <w:rFonts w:hint="eastAsia" w:ascii="仿宋" w:hAnsi="仿宋" w:eastAsia="仿宋" w:cs="仿宋"/>
          <w:sz w:val="32"/>
          <w:szCs w:val="32"/>
        </w:rPr>
        <w:t>本次招标不接收联合体投标。</w:t>
      </w:r>
    </w:p>
    <w:p w14:paraId="47676A96">
      <w:pPr>
        <w:keepNext w:val="0"/>
        <w:keepLines w:val="0"/>
        <w:pageBreakBefore w:val="0"/>
        <w:kinsoku/>
        <w:wordWrap/>
        <w:overflowPunct w:val="0"/>
        <w:topLinePunct w:val="0"/>
        <w:autoSpaceDE/>
        <w:autoSpaceDN/>
        <w:bidi w:val="0"/>
        <w:snapToGrid/>
        <w:spacing w:line="560" w:lineRule="exact"/>
        <w:ind w:left="0"/>
        <w:textAlignment w:val="auto"/>
        <w:rPr>
          <w:rFonts w:ascii="仿宋" w:hAnsi="仿宋" w:eastAsia="仿宋" w:cs="仿宋"/>
          <w:sz w:val="32"/>
          <w:szCs w:val="32"/>
        </w:rPr>
      </w:pPr>
      <w:r>
        <w:rPr>
          <w:rFonts w:hint="eastAsia" w:ascii="仿宋" w:hAnsi="仿宋" w:eastAsia="仿宋" w:cs="仿宋"/>
          <w:sz w:val="32"/>
          <w:szCs w:val="32"/>
        </w:rPr>
        <w:t>2.信用要求：</w:t>
      </w:r>
    </w:p>
    <w:p w14:paraId="1D0F5C1C">
      <w:pPr>
        <w:keepNext w:val="0"/>
        <w:keepLines w:val="0"/>
        <w:pageBreakBefore w:val="0"/>
        <w:kinsoku/>
        <w:wordWrap/>
        <w:overflowPunct w:val="0"/>
        <w:topLinePunct w:val="0"/>
        <w:autoSpaceDE/>
        <w:autoSpaceDN/>
        <w:bidi w:val="0"/>
        <w:snapToGrid/>
        <w:spacing w:line="560" w:lineRule="exact"/>
        <w:ind w:left="0" w:firstLine="320" w:firstLineChars="100"/>
        <w:textAlignment w:val="auto"/>
        <w:rPr>
          <w:rFonts w:ascii="仿宋" w:hAnsi="仿宋" w:eastAsia="仿宋" w:cs="仿宋"/>
          <w:sz w:val="32"/>
          <w:szCs w:val="32"/>
        </w:rPr>
      </w:pPr>
      <w:r>
        <w:rPr>
          <w:rFonts w:hint="eastAsia" w:ascii="仿宋" w:hAnsi="仿宋" w:eastAsia="仿宋" w:cs="仿宋"/>
          <w:sz w:val="32"/>
          <w:szCs w:val="32"/>
        </w:rPr>
        <w:t>（1）供应商具有良好的银行资信和商业信誉，没有处于被责令停业、财产被接管、冻结、破产状态（附承诺书）；</w:t>
      </w:r>
    </w:p>
    <w:p w14:paraId="668A1E55">
      <w:pPr>
        <w:keepNext w:val="0"/>
        <w:keepLines w:val="0"/>
        <w:pageBreakBefore w:val="0"/>
        <w:kinsoku/>
        <w:wordWrap/>
        <w:overflowPunct w:val="0"/>
        <w:topLinePunct w:val="0"/>
        <w:autoSpaceDE/>
        <w:autoSpaceDN/>
        <w:bidi w:val="0"/>
        <w:snapToGrid/>
        <w:spacing w:line="560" w:lineRule="exact"/>
        <w:ind w:left="0" w:firstLine="320" w:firstLineChars="100"/>
        <w:textAlignment w:val="auto"/>
        <w:rPr>
          <w:rFonts w:ascii="仿宋" w:hAnsi="仿宋" w:eastAsia="仿宋" w:cs="仿宋"/>
          <w:sz w:val="32"/>
          <w:szCs w:val="32"/>
        </w:rPr>
      </w:pPr>
      <w:r>
        <w:rPr>
          <w:rFonts w:hint="eastAsia" w:ascii="仿宋" w:hAnsi="仿宋" w:eastAsia="仿宋" w:cs="仿宋"/>
          <w:sz w:val="32"/>
          <w:szCs w:val="32"/>
        </w:rPr>
        <w:t>（2）供应商不得在“信用中国-中国执行信息公开网”被列为失信被执行人；提供信用中国网站查询截图；</w:t>
      </w:r>
    </w:p>
    <w:p w14:paraId="2C5D7094">
      <w:pPr>
        <w:keepNext w:val="0"/>
        <w:keepLines w:val="0"/>
        <w:pageBreakBefore w:val="0"/>
        <w:kinsoku/>
        <w:wordWrap/>
        <w:overflowPunct w:val="0"/>
        <w:topLinePunct w:val="0"/>
        <w:autoSpaceDE/>
        <w:autoSpaceDN/>
        <w:bidi w:val="0"/>
        <w:snapToGrid/>
        <w:spacing w:line="560" w:lineRule="exact"/>
        <w:ind w:left="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rPr>
        <w:t>3.业绩要求：供应商202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val="en-US" w:eastAsia="zh-CN"/>
        </w:rPr>
        <w:t>1</w:t>
      </w:r>
      <w:r>
        <w:rPr>
          <w:rFonts w:hint="eastAsia" w:ascii="仿宋" w:hAnsi="仿宋" w:eastAsia="仿宋" w:cs="仿宋"/>
          <w:sz w:val="32"/>
          <w:szCs w:val="32"/>
        </w:rPr>
        <w:t>月至今具有类似业绩（提供合同复印件</w:t>
      </w:r>
      <w:r>
        <w:rPr>
          <w:rFonts w:hint="eastAsia" w:ascii="仿宋" w:hAnsi="仿宋" w:eastAsia="仿宋" w:cs="仿宋"/>
          <w:sz w:val="32"/>
          <w:szCs w:val="32"/>
          <w:lang w:eastAsia="zh-CN"/>
        </w:rPr>
        <w:t>，</w:t>
      </w:r>
      <w:r>
        <w:rPr>
          <w:rFonts w:hint="eastAsia" w:ascii="仿宋" w:hAnsi="仿宋" w:eastAsia="仿宋" w:cs="仿宋"/>
          <w:sz w:val="32"/>
          <w:szCs w:val="32"/>
        </w:rPr>
        <w:t>时间以合同签订时间为准）</w:t>
      </w:r>
      <w:r>
        <w:rPr>
          <w:rFonts w:hint="eastAsia" w:ascii="仿宋" w:hAnsi="仿宋" w:eastAsia="仿宋" w:cs="仿宋"/>
          <w:sz w:val="32"/>
          <w:szCs w:val="32"/>
          <w:lang w:val="en-US" w:eastAsia="zh-CN"/>
        </w:rPr>
        <w:t>至少1份</w:t>
      </w:r>
      <w:r>
        <w:rPr>
          <w:rFonts w:hint="eastAsia" w:ascii="仿宋" w:hAnsi="仿宋" w:eastAsia="仿宋" w:cs="仿宋"/>
          <w:sz w:val="32"/>
          <w:szCs w:val="32"/>
          <w:lang w:eastAsia="zh-CN"/>
        </w:rPr>
        <w:t>。</w:t>
      </w:r>
      <w:r>
        <w:rPr>
          <w:rFonts w:hint="eastAsia" w:ascii="仿宋" w:hAnsi="仿宋" w:eastAsia="仿宋" w:cs="仿宋"/>
          <w:b/>
          <w:bCs/>
          <w:sz w:val="32"/>
          <w:szCs w:val="32"/>
          <w:lang w:val="en-US" w:eastAsia="zh-CN"/>
        </w:rPr>
        <w:t>未提供业绩的（即0份类似业绩），否决其响应文件。</w:t>
      </w:r>
    </w:p>
    <w:p w14:paraId="7D923B13">
      <w:pPr>
        <w:keepNext w:val="0"/>
        <w:keepLines w:val="0"/>
        <w:pageBreakBefore w:val="0"/>
        <w:kinsoku/>
        <w:wordWrap/>
        <w:overflowPunct w:val="0"/>
        <w:topLinePunct w:val="0"/>
        <w:autoSpaceDE/>
        <w:autoSpaceDN/>
        <w:bidi w:val="0"/>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4.联合体响应：本项目不接受联合体响应。</w:t>
      </w:r>
    </w:p>
    <w:p w14:paraId="1E3FDD0E">
      <w:pPr>
        <w:keepNext w:val="0"/>
        <w:keepLines w:val="0"/>
        <w:pageBreakBefore w:val="0"/>
        <w:kinsoku/>
        <w:wordWrap/>
        <w:overflowPunct w:val="0"/>
        <w:topLinePunct w:val="0"/>
        <w:autoSpaceDE/>
        <w:autoSpaceDN/>
        <w:bidi w:val="0"/>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5.其他要求：</w:t>
      </w:r>
    </w:p>
    <w:p w14:paraId="07308CE9">
      <w:pPr>
        <w:keepNext w:val="0"/>
        <w:keepLines w:val="0"/>
        <w:pageBreakBefore w:val="0"/>
        <w:kinsoku/>
        <w:wordWrap/>
        <w:overflowPunct w:val="0"/>
        <w:topLinePunct w:val="0"/>
        <w:autoSpaceDE/>
        <w:autoSpaceDN/>
        <w:bidi w:val="0"/>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供应商不得存在下列情形之一：</w:t>
      </w:r>
    </w:p>
    <w:p w14:paraId="466BB680">
      <w:pPr>
        <w:keepNext w:val="0"/>
        <w:keepLines w:val="0"/>
        <w:pageBreakBefore w:val="0"/>
        <w:kinsoku/>
        <w:wordWrap/>
        <w:overflowPunct w:val="0"/>
        <w:topLinePunct w:val="0"/>
        <w:autoSpaceDE/>
        <w:autoSpaceDN/>
        <w:bidi w:val="0"/>
        <w:snapToGrid/>
        <w:spacing w:line="560" w:lineRule="exact"/>
        <w:ind w:left="0" w:firstLine="320" w:firstLineChars="100"/>
        <w:textAlignment w:val="auto"/>
        <w:rPr>
          <w:rFonts w:ascii="仿宋" w:hAnsi="仿宋" w:eastAsia="仿宋" w:cs="仿宋"/>
          <w:sz w:val="32"/>
          <w:szCs w:val="32"/>
        </w:rPr>
      </w:pPr>
      <w:r>
        <w:rPr>
          <w:rFonts w:hint="eastAsia" w:ascii="仿宋" w:hAnsi="仿宋" w:eastAsia="仿宋" w:cs="仿宋"/>
          <w:sz w:val="32"/>
          <w:szCs w:val="32"/>
        </w:rPr>
        <w:t>（1）与采购人存在利害关系可能影响询比采购公正性；</w:t>
      </w:r>
    </w:p>
    <w:p w14:paraId="74083F28">
      <w:pPr>
        <w:keepNext w:val="0"/>
        <w:keepLines w:val="0"/>
        <w:pageBreakBefore w:val="0"/>
        <w:kinsoku/>
        <w:wordWrap/>
        <w:overflowPunct w:val="0"/>
        <w:topLinePunct w:val="0"/>
        <w:autoSpaceDE/>
        <w:autoSpaceDN/>
        <w:bidi w:val="0"/>
        <w:snapToGrid/>
        <w:spacing w:line="560" w:lineRule="exact"/>
        <w:ind w:left="0" w:firstLine="320" w:firstLineChars="100"/>
        <w:textAlignment w:val="auto"/>
        <w:rPr>
          <w:rFonts w:ascii="仿宋" w:hAnsi="仿宋" w:eastAsia="仿宋" w:cs="仿宋"/>
          <w:sz w:val="32"/>
          <w:szCs w:val="32"/>
        </w:rPr>
      </w:pPr>
      <w:r>
        <w:rPr>
          <w:rFonts w:hint="eastAsia" w:ascii="仿宋" w:hAnsi="仿宋" w:eastAsia="仿宋" w:cs="仿宋"/>
          <w:sz w:val="32"/>
          <w:szCs w:val="32"/>
        </w:rPr>
        <w:t>（2）法定代表人（单位负责人）为同一人或者存在控股、管理关系的不同法人或其他组织同时参加询比采购；</w:t>
      </w:r>
    </w:p>
    <w:p w14:paraId="6FEFEC39">
      <w:pPr>
        <w:keepNext w:val="0"/>
        <w:keepLines w:val="0"/>
        <w:pageBreakBefore w:val="0"/>
        <w:kinsoku/>
        <w:wordWrap/>
        <w:overflowPunct w:val="0"/>
        <w:topLinePunct w:val="0"/>
        <w:autoSpaceDE/>
        <w:autoSpaceDN/>
        <w:bidi w:val="0"/>
        <w:snapToGrid/>
        <w:spacing w:line="560" w:lineRule="exact"/>
        <w:ind w:left="0" w:firstLine="320" w:firstLineChars="100"/>
        <w:textAlignment w:val="auto"/>
        <w:rPr>
          <w:rFonts w:ascii="仿宋" w:hAnsi="仿宋" w:eastAsia="仿宋" w:cs="仿宋"/>
          <w:sz w:val="32"/>
          <w:szCs w:val="32"/>
        </w:rPr>
      </w:pPr>
      <w:r>
        <w:rPr>
          <w:rFonts w:hint="eastAsia" w:ascii="仿宋" w:hAnsi="仿宋" w:eastAsia="仿宋" w:cs="仿宋"/>
          <w:sz w:val="32"/>
          <w:szCs w:val="32"/>
        </w:rPr>
        <w:t xml:space="preserve">（3）被依法暂停或者取消询比采购资格； </w:t>
      </w:r>
    </w:p>
    <w:p w14:paraId="580D1E16">
      <w:pPr>
        <w:keepNext w:val="0"/>
        <w:keepLines w:val="0"/>
        <w:pageBreakBefore w:val="0"/>
        <w:kinsoku/>
        <w:wordWrap/>
        <w:overflowPunct w:val="0"/>
        <w:topLinePunct w:val="0"/>
        <w:autoSpaceDE/>
        <w:autoSpaceDN/>
        <w:bidi w:val="0"/>
        <w:snapToGrid/>
        <w:spacing w:line="560" w:lineRule="exact"/>
        <w:ind w:left="0" w:firstLine="320" w:firstLineChars="100"/>
        <w:textAlignment w:val="auto"/>
        <w:rPr>
          <w:rFonts w:ascii="仿宋" w:hAnsi="仿宋" w:eastAsia="仿宋" w:cs="仿宋"/>
          <w:sz w:val="32"/>
          <w:szCs w:val="32"/>
        </w:rPr>
      </w:pPr>
      <w:r>
        <w:rPr>
          <w:rFonts w:hint="eastAsia" w:ascii="仿宋" w:hAnsi="仿宋" w:eastAsia="仿宋" w:cs="仿宋"/>
          <w:sz w:val="32"/>
          <w:szCs w:val="32"/>
        </w:rPr>
        <w:t>（4）被责令停产停业、暂扣或者吊销许可证、暂扣或者吊销执照；</w:t>
      </w:r>
    </w:p>
    <w:p w14:paraId="16FE16A4">
      <w:pPr>
        <w:keepNext w:val="0"/>
        <w:keepLines w:val="0"/>
        <w:pageBreakBefore w:val="0"/>
        <w:kinsoku/>
        <w:wordWrap/>
        <w:overflowPunct w:val="0"/>
        <w:topLinePunct w:val="0"/>
        <w:autoSpaceDE/>
        <w:autoSpaceDN/>
        <w:bidi w:val="0"/>
        <w:snapToGrid/>
        <w:spacing w:line="560" w:lineRule="exact"/>
        <w:ind w:left="0" w:firstLine="320" w:firstLineChars="100"/>
        <w:textAlignment w:val="auto"/>
        <w:rPr>
          <w:rFonts w:ascii="仿宋" w:hAnsi="仿宋" w:eastAsia="仿宋" w:cs="仿宋"/>
          <w:sz w:val="32"/>
          <w:szCs w:val="32"/>
        </w:rPr>
      </w:pPr>
      <w:r>
        <w:rPr>
          <w:rFonts w:hint="eastAsia" w:ascii="仿宋" w:hAnsi="仿宋" w:eastAsia="仿宋" w:cs="仿宋"/>
          <w:sz w:val="32"/>
          <w:szCs w:val="32"/>
        </w:rPr>
        <w:t>（5）进入清算程序，或被宣告破产，或其他丧失履约能力的情形；</w:t>
      </w:r>
    </w:p>
    <w:p w14:paraId="02ACC90B">
      <w:pPr>
        <w:keepNext w:val="0"/>
        <w:keepLines w:val="0"/>
        <w:pageBreakBefore w:val="0"/>
        <w:kinsoku/>
        <w:wordWrap/>
        <w:overflowPunct w:val="0"/>
        <w:topLinePunct w:val="0"/>
        <w:autoSpaceDE/>
        <w:autoSpaceDN/>
        <w:bidi w:val="0"/>
        <w:snapToGrid/>
        <w:spacing w:line="560" w:lineRule="exact"/>
        <w:ind w:left="0" w:firstLine="320" w:firstLineChars="100"/>
        <w:textAlignment w:val="auto"/>
        <w:rPr>
          <w:rFonts w:ascii="仿宋" w:hAnsi="仿宋" w:eastAsia="仿宋" w:cs="仿宋"/>
          <w:sz w:val="32"/>
          <w:szCs w:val="32"/>
        </w:rPr>
      </w:pPr>
      <w:r>
        <w:rPr>
          <w:rFonts w:hint="eastAsia" w:ascii="仿宋" w:hAnsi="仿宋" w:eastAsia="仿宋" w:cs="仿宋"/>
          <w:sz w:val="32"/>
          <w:szCs w:val="32"/>
        </w:rPr>
        <w:t>（6）在最近三年内发生重大产品质量问题；</w:t>
      </w:r>
    </w:p>
    <w:p w14:paraId="596553F4">
      <w:pPr>
        <w:keepNext w:val="0"/>
        <w:keepLines w:val="0"/>
        <w:pageBreakBefore w:val="0"/>
        <w:kinsoku/>
        <w:wordWrap/>
        <w:overflowPunct w:val="0"/>
        <w:topLinePunct w:val="0"/>
        <w:autoSpaceDE/>
        <w:autoSpaceDN/>
        <w:bidi w:val="0"/>
        <w:snapToGrid/>
        <w:spacing w:line="560" w:lineRule="exact"/>
        <w:ind w:left="0" w:firstLine="320" w:firstLineChars="100"/>
        <w:textAlignment w:val="auto"/>
        <w:rPr>
          <w:rFonts w:ascii="微软雅黑" w:hAnsi="微软雅黑" w:eastAsia="微软雅黑" w:cs="微软雅黑"/>
          <w:color w:val="000000"/>
          <w:sz w:val="27"/>
          <w:szCs w:val="27"/>
        </w:rPr>
      </w:pPr>
      <w:r>
        <w:rPr>
          <w:rFonts w:hint="eastAsia" w:ascii="仿宋" w:hAnsi="仿宋" w:eastAsia="仿宋" w:cs="仿宋"/>
          <w:sz w:val="32"/>
          <w:szCs w:val="32"/>
        </w:rPr>
        <w:t>（7）法律法规规定的其他情形。</w:t>
      </w:r>
    </w:p>
    <w:p w14:paraId="244024BA">
      <w:pPr>
        <w:keepNext w:val="0"/>
        <w:keepLines w:val="0"/>
        <w:pageBreakBefore w:val="0"/>
        <w:kinsoku/>
        <w:wordWrap/>
        <w:overflowPunct w:val="0"/>
        <w:topLinePunct w:val="0"/>
        <w:autoSpaceDE/>
        <w:autoSpaceDN/>
        <w:bidi w:val="0"/>
        <w:snapToGrid/>
        <w:spacing w:line="560" w:lineRule="exact"/>
        <w:ind w:left="0" w:firstLine="321" w:firstLineChars="100"/>
        <w:textAlignment w:val="auto"/>
        <w:rPr>
          <w:rFonts w:ascii="仿宋" w:hAnsi="仿宋" w:eastAsia="仿宋" w:cs="仿宋"/>
          <w:sz w:val="32"/>
          <w:szCs w:val="32"/>
        </w:rPr>
      </w:pPr>
      <w:r>
        <w:rPr>
          <w:rFonts w:hint="eastAsia" w:ascii="仿宋" w:hAnsi="仿宋" w:eastAsia="仿宋" w:cs="仿宋"/>
          <w:b/>
          <w:bCs/>
          <w:sz w:val="32"/>
          <w:szCs w:val="32"/>
        </w:rPr>
        <w:t>二、询比采购文件的获取</w:t>
      </w:r>
    </w:p>
    <w:p w14:paraId="6355AE6D">
      <w:pPr>
        <w:keepNext w:val="0"/>
        <w:keepLines w:val="0"/>
        <w:pageBreakBefore w:val="0"/>
        <w:kinsoku/>
        <w:wordWrap/>
        <w:overflowPunct w:val="0"/>
        <w:topLinePunct w:val="0"/>
        <w:autoSpaceDE/>
        <w:autoSpaceDN/>
        <w:bidi w:val="0"/>
        <w:snapToGrid/>
        <w:spacing w:line="560" w:lineRule="exact"/>
        <w:ind w:left="0" w:firstLine="320" w:firstLineChars="100"/>
        <w:textAlignment w:val="auto"/>
        <w:rPr>
          <w:rFonts w:ascii="仿宋" w:hAnsi="仿宋" w:eastAsia="仿宋" w:cs="仿宋"/>
          <w:sz w:val="32"/>
          <w:szCs w:val="32"/>
        </w:rPr>
      </w:pPr>
      <w:r>
        <w:rPr>
          <w:rFonts w:hint="eastAsia" w:ascii="仿宋" w:hAnsi="仿宋" w:eastAsia="仿宋" w:cs="仿宋"/>
          <w:sz w:val="32"/>
          <w:szCs w:val="32"/>
        </w:rPr>
        <w:t>询比采购文件在陕西锌业有限公司网络询比采购平台（www.sxxyjjpt.com）发布，符合条件的供应商可自行下载采购文件。</w:t>
      </w:r>
    </w:p>
    <w:p w14:paraId="4C25E573">
      <w:pPr>
        <w:keepNext w:val="0"/>
        <w:keepLines w:val="0"/>
        <w:pageBreakBefore w:val="0"/>
        <w:kinsoku/>
        <w:wordWrap/>
        <w:overflowPunct w:val="0"/>
        <w:topLinePunct w:val="0"/>
        <w:autoSpaceDE/>
        <w:autoSpaceDN/>
        <w:bidi w:val="0"/>
        <w:snapToGrid/>
        <w:spacing w:line="560" w:lineRule="exact"/>
        <w:ind w:left="0" w:firstLine="321" w:firstLineChars="100"/>
        <w:textAlignment w:val="auto"/>
        <w:rPr>
          <w:rFonts w:ascii="仿宋" w:hAnsi="仿宋" w:eastAsia="仿宋" w:cs="仿宋"/>
          <w:b/>
          <w:bCs/>
          <w:sz w:val="32"/>
          <w:szCs w:val="32"/>
        </w:rPr>
      </w:pPr>
      <w:r>
        <w:rPr>
          <w:rFonts w:hint="eastAsia" w:ascii="仿宋" w:hAnsi="仿宋" w:eastAsia="仿宋" w:cs="仿宋"/>
          <w:b/>
          <w:bCs/>
          <w:sz w:val="32"/>
          <w:szCs w:val="32"/>
        </w:rPr>
        <w:t>三、供应商响应</w:t>
      </w:r>
    </w:p>
    <w:p w14:paraId="685CFC19">
      <w:pPr>
        <w:keepNext w:val="0"/>
        <w:keepLines w:val="0"/>
        <w:pageBreakBefore w:val="0"/>
        <w:kinsoku/>
        <w:wordWrap/>
        <w:overflowPunct w:val="0"/>
        <w:topLinePunct w:val="0"/>
        <w:autoSpaceDE/>
        <w:autoSpaceDN/>
        <w:bidi w:val="0"/>
        <w:snapToGrid/>
        <w:spacing w:line="560" w:lineRule="exact"/>
        <w:ind w:left="0" w:firstLine="320" w:firstLineChars="100"/>
        <w:textAlignment w:val="auto"/>
        <w:rPr>
          <w:rFonts w:ascii="仿宋" w:hAnsi="仿宋" w:eastAsia="仿宋" w:cs="仿宋"/>
          <w:sz w:val="32"/>
          <w:szCs w:val="32"/>
        </w:rPr>
      </w:pPr>
      <w:r>
        <w:rPr>
          <w:rFonts w:hint="eastAsia" w:ascii="仿宋" w:hAnsi="仿宋" w:eastAsia="仿宋" w:cs="仿宋"/>
          <w:sz w:val="32"/>
          <w:szCs w:val="32"/>
        </w:rPr>
        <w:t xml:space="preserve">   （一）响应报价</w:t>
      </w:r>
    </w:p>
    <w:p w14:paraId="3B36FAFE">
      <w:pPr>
        <w:pStyle w:val="7"/>
        <w:keepNext w:val="0"/>
        <w:keepLines w:val="0"/>
        <w:pageBreakBefore w:val="0"/>
        <w:kinsoku/>
        <w:wordWrap/>
        <w:overflowPunct w:val="0"/>
        <w:topLinePunct w:val="0"/>
        <w:autoSpaceDE/>
        <w:autoSpaceDN/>
        <w:bidi w:val="0"/>
        <w:snapToGrid/>
        <w:spacing w:after="0"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1.供应商应按“响应文件格式”要求在响应函中进行报价并填写响应文件的分项报价表。</w:t>
      </w:r>
    </w:p>
    <w:p w14:paraId="3020292F">
      <w:pPr>
        <w:pStyle w:val="7"/>
        <w:keepNext w:val="0"/>
        <w:keepLines w:val="0"/>
        <w:pageBreakBefore w:val="0"/>
        <w:kinsoku/>
        <w:wordWrap/>
        <w:overflowPunct w:val="0"/>
        <w:topLinePunct w:val="0"/>
        <w:autoSpaceDE/>
        <w:autoSpaceDN/>
        <w:bidi w:val="0"/>
        <w:snapToGrid/>
        <w:spacing w:after="0"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.报价包括设计费、制造费、运输费、税费、</w:t>
      </w:r>
      <w:r>
        <w:rPr>
          <w:rFonts w:hint="eastAsia" w:ascii="仿宋" w:hAnsi="仿宋" w:eastAsia="仿宋" w:cs="仿宋"/>
          <w:sz w:val="32"/>
          <w:szCs w:val="32"/>
          <w:lang w:val="en-US" w:eastAsia="zh-CN"/>
        </w:rPr>
        <w:t>拆除</w:t>
      </w:r>
      <w:r>
        <w:rPr>
          <w:rFonts w:hint="eastAsia" w:ascii="仿宋" w:hAnsi="仿宋" w:eastAsia="仿宋" w:cs="仿宋"/>
          <w:sz w:val="32"/>
          <w:szCs w:val="32"/>
        </w:rPr>
        <w:t>安装调试费</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检测费</w:t>
      </w:r>
      <w:r>
        <w:rPr>
          <w:rFonts w:hint="eastAsia" w:ascii="仿宋" w:hAnsi="仿宋" w:eastAsia="仿宋" w:cs="仿宋"/>
          <w:sz w:val="32"/>
          <w:szCs w:val="32"/>
        </w:rPr>
        <w:t>以及采购人指定地点全包价。该价款不因原料、材料、劳务、能源等市场价格的变动而变动。</w:t>
      </w:r>
    </w:p>
    <w:p w14:paraId="18545178">
      <w:pPr>
        <w:pStyle w:val="7"/>
        <w:keepNext w:val="0"/>
        <w:keepLines w:val="0"/>
        <w:pageBreakBefore w:val="0"/>
        <w:kinsoku/>
        <w:wordWrap/>
        <w:overflowPunct w:val="0"/>
        <w:topLinePunct w:val="0"/>
        <w:autoSpaceDE/>
        <w:autoSpaceDN/>
        <w:bidi w:val="0"/>
        <w:snapToGrid/>
        <w:spacing w:after="0"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.供应商在响应文件递交截止时间前修改响应函中的响应报价总额，应同时修</w:t>
      </w:r>
      <w:bookmarkStart w:id="13" w:name="_Toc384308223"/>
      <w:bookmarkStart w:id="14" w:name="_Toc25772"/>
      <w:bookmarkStart w:id="15" w:name="_Toc152045542"/>
      <w:bookmarkStart w:id="16" w:name="_Toc361508598"/>
      <w:bookmarkStart w:id="17" w:name="_Toc152042318"/>
      <w:bookmarkStart w:id="18" w:name="_Toc247513966"/>
      <w:bookmarkStart w:id="19" w:name="_Toc300834963"/>
      <w:bookmarkStart w:id="20" w:name="_Toc369531529"/>
      <w:bookmarkStart w:id="21" w:name="_Toc144974510"/>
      <w:bookmarkStart w:id="22" w:name="_Toc247527567"/>
      <w:bookmarkStart w:id="23" w:name="_Toc352691486"/>
      <w:r>
        <w:rPr>
          <w:rFonts w:hint="eastAsia" w:ascii="仿宋" w:hAnsi="仿宋" w:eastAsia="仿宋" w:cs="仿宋"/>
          <w:sz w:val="32"/>
          <w:szCs w:val="32"/>
        </w:rPr>
        <w:t>改响应文件</w:t>
      </w:r>
      <w:bookmarkEnd w:id="13"/>
      <w:bookmarkEnd w:id="14"/>
      <w:bookmarkEnd w:id="15"/>
      <w:bookmarkEnd w:id="16"/>
      <w:bookmarkEnd w:id="17"/>
      <w:bookmarkEnd w:id="18"/>
      <w:bookmarkEnd w:id="19"/>
      <w:bookmarkEnd w:id="20"/>
      <w:bookmarkEnd w:id="21"/>
      <w:bookmarkEnd w:id="22"/>
      <w:bookmarkEnd w:id="23"/>
      <w:bookmarkStart w:id="24" w:name="_Toc247527568"/>
      <w:bookmarkStart w:id="25" w:name="_Toc247513967"/>
      <w:bookmarkStart w:id="26" w:name="_Toc384308224"/>
      <w:bookmarkStart w:id="27" w:name="_Toc15242"/>
      <w:bookmarkStart w:id="28" w:name="_Toc144974511"/>
      <w:bookmarkStart w:id="29" w:name="_Toc300834964"/>
      <w:bookmarkStart w:id="30" w:name="_Toc369531530"/>
      <w:bookmarkStart w:id="31" w:name="_Toc152042319"/>
      <w:bookmarkStart w:id="32" w:name="_Toc361508599"/>
      <w:bookmarkStart w:id="33" w:name="_Toc152045543"/>
      <w:bookmarkStart w:id="34" w:name="_Toc352691487"/>
      <w:r>
        <w:rPr>
          <w:rFonts w:hint="eastAsia" w:ascii="仿宋" w:hAnsi="仿宋" w:eastAsia="仿宋" w:cs="仿宋"/>
          <w:sz w:val="32"/>
          <w:szCs w:val="32"/>
        </w:rPr>
        <w:t>“分项报价表”中的相应报价。</w:t>
      </w:r>
      <w:bookmarkEnd w:id="24"/>
      <w:bookmarkEnd w:id="25"/>
      <w:bookmarkEnd w:id="26"/>
      <w:bookmarkEnd w:id="27"/>
      <w:bookmarkEnd w:id="28"/>
      <w:bookmarkEnd w:id="29"/>
      <w:bookmarkEnd w:id="30"/>
      <w:bookmarkEnd w:id="31"/>
      <w:bookmarkEnd w:id="32"/>
      <w:bookmarkEnd w:id="33"/>
      <w:bookmarkEnd w:id="34"/>
    </w:p>
    <w:p w14:paraId="69904D06">
      <w:pPr>
        <w:keepNext w:val="0"/>
        <w:keepLines w:val="0"/>
        <w:pageBreakBefore w:val="0"/>
        <w:kinsoku/>
        <w:wordWrap/>
        <w:overflowPunct w:val="0"/>
        <w:topLinePunct w:val="0"/>
        <w:autoSpaceDE/>
        <w:autoSpaceDN/>
        <w:bidi w:val="0"/>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.响应报价为各分项报价金额之和，响应报价与分项报价的合价不一致的，应以各分项合价累计数为准，修正响应报价。</w:t>
      </w:r>
    </w:p>
    <w:p w14:paraId="71898227">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.成交供应商的响应报价是成交、签订合同及合同执行过程中的依据，不得进行实质性变动。</w:t>
      </w:r>
    </w:p>
    <w:p w14:paraId="76797931">
      <w:pPr>
        <w:pStyle w:val="6"/>
        <w:keepNext w:val="0"/>
        <w:keepLines w:val="0"/>
        <w:pageBreakBefore w:val="0"/>
        <w:kinsoku/>
        <w:wordWrap/>
        <w:overflowPunct w:val="0"/>
        <w:topLinePunct w:val="0"/>
        <w:autoSpaceDE/>
        <w:autoSpaceDN/>
        <w:bidi w:val="0"/>
        <w:adjustRightInd/>
        <w:snapToGrid/>
        <w:spacing w:before="0" w:after="0" w:line="560" w:lineRule="exact"/>
        <w:ind w:left="0" w:firstLine="320" w:firstLineChars="100"/>
        <w:textAlignment w:val="auto"/>
        <w:rPr>
          <w:rFonts w:ascii="仿宋" w:hAnsi="仿宋" w:eastAsia="仿宋" w:cs="仿宋"/>
          <w:sz w:val="32"/>
          <w:szCs w:val="32"/>
        </w:rPr>
      </w:pPr>
      <w:r>
        <w:rPr>
          <w:rFonts w:hint="eastAsia" w:ascii="仿宋" w:hAnsi="仿宋" w:eastAsia="仿宋" w:cs="仿宋"/>
          <w:sz w:val="32"/>
          <w:szCs w:val="32"/>
        </w:rPr>
        <w:t>（二）响应有效期</w:t>
      </w:r>
    </w:p>
    <w:p w14:paraId="1E5228DB">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1.响应有效期从提交响应文件截止之日起算60天。</w:t>
      </w:r>
    </w:p>
    <w:p w14:paraId="1C2E8A78">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2.在响应有效期内，供应商撤销响应文件的，应承担询比采购文件和法律规定的责任。</w:t>
      </w:r>
    </w:p>
    <w:p w14:paraId="513C2601">
      <w:pPr>
        <w:pStyle w:val="6"/>
        <w:keepNext w:val="0"/>
        <w:keepLines w:val="0"/>
        <w:pageBreakBefore w:val="0"/>
        <w:kinsoku/>
        <w:wordWrap/>
        <w:overflowPunct w:val="0"/>
        <w:topLinePunct w:val="0"/>
        <w:autoSpaceDE/>
        <w:autoSpaceDN/>
        <w:bidi w:val="0"/>
        <w:adjustRightInd/>
        <w:snapToGrid/>
        <w:spacing w:before="0" w:after="0" w:line="560" w:lineRule="exact"/>
        <w:ind w:left="0" w:firstLine="320" w:firstLineChars="100"/>
        <w:textAlignment w:val="auto"/>
        <w:rPr>
          <w:rFonts w:ascii="仿宋" w:hAnsi="仿宋" w:eastAsia="仿宋" w:cs="仿宋"/>
          <w:sz w:val="32"/>
          <w:szCs w:val="32"/>
        </w:rPr>
      </w:pPr>
      <w:r>
        <w:rPr>
          <w:rFonts w:hint="eastAsia" w:ascii="仿宋" w:hAnsi="仿宋" w:eastAsia="仿宋" w:cs="仿宋"/>
          <w:sz w:val="32"/>
          <w:szCs w:val="32"/>
        </w:rPr>
        <w:t>（三）响应保证金</w:t>
      </w:r>
    </w:p>
    <w:p w14:paraId="03A8983D">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1.供应商在递交响应文件的同时，应按规定的响应保证金格式递交响应保证金</w:t>
      </w:r>
      <w:r>
        <w:rPr>
          <w:rFonts w:hint="eastAsia" w:ascii="仿宋" w:hAnsi="仿宋" w:eastAsia="仿宋" w:cs="仿宋"/>
          <w:sz w:val="32"/>
          <w:szCs w:val="32"/>
          <w:lang w:val="en-US" w:eastAsia="zh-CN"/>
        </w:rPr>
        <w:t>1.5</w:t>
      </w:r>
      <w:r>
        <w:rPr>
          <w:rFonts w:hint="eastAsia" w:ascii="仿宋" w:hAnsi="仿宋" w:eastAsia="仿宋" w:cs="仿宋"/>
          <w:sz w:val="32"/>
          <w:szCs w:val="32"/>
        </w:rPr>
        <w:t>万元，并作为其响应文件的组成部分。</w:t>
      </w:r>
    </w:p>
    <w:p w14:paraId="68E77B03">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保证金支付账户如下：</w:t>
      </w:r>
    </w:p>
    <w:p w14:paraId="6FE750BD">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收款人：陕西锌业有限公司</w:t>
      </w:r>
    </w:p>
    <w:p w14:paraId="0EB40408">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账号：26805701040010332</w:t>
      </w:r>
    </w:p>
    <w:p w14:paraId="00EF95D8">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开户行：中国农业银行商洛商州区支行</w:t>
      </w:r>
    </w:p>
    <w:p w14:paraId="6C3C78FD">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.响应保证金必须在响应文件递交截止时间前到达指定帐户。</w:t>
      </w:r>
    </w:p>
    <w:p w14:paraId="725F9BB8">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.响应保证金有效期与响应有效期一致。</w:t>
      </w:r>
    </w:p>
    <w:p w14:paraId="61DAA302">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.供应商不按</w:t>
      </w:r>
      <w:bookmarkStart w:id="35" w:name="_Toc29025"/>
      <w:bookmarkStart w:id="36" w:name="_Toc361508602"/>
      <w:bookmarkStart w:id="37" w:name="_Toc369531533"/>
      <w:bookmarkStart w:id="38" w:name="_Toc384308227"/>
      <w:bookmarkStart w:id="39" w:name="_Toc352691490"/>
      <w:r>
        <w:rPr>
          <w:rFonts w:hint="eastAsia" w:ascii="仿宋" w:hAnsi="仿宋" w:eastAsia="仿宋" w:cs="仿宋"/>
          <w:sz w:val="32"/>
          <w:szCs w:val="32"/>
        </w:rPr>
        <w:t>前述要求提交响应保证金的，</w:t>
      </w:r>
      <w:bookmarkEnd w:id="35"/>
      <w:bookmarkEnd w:id="36"/>
      <w:bookmarkEnd w:id="37"/>
      <w:bookmarkEnd w:id="38"/>
      <w:bookmarkEnd w:id="39"/>
      <w:r>
        <w:rPr>
          <w:rFonts w:hint="eastAsia" w:ascii="仿宋" w:hAnsi="仿宋" w:eastAsia="仿宋" w:cs="仿宋"/>
          <w:sz w:val="32"/>
          <w:szCs w:val="32"/>
        </w:rPr>
        <w:t>评审小组将否决其响应文件。</w:t>
      </w:r>
    </w:p>
    <w:p w14:paraId="23E02362">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.采购人最迟应当在与成交人</w:t>
      </w:r>
      <w:bookmarkStart w:id="40" w:name="_Toc300834967"/>
      <w:bookmarkStart w:id="41" w:name="_Toc247513970"/>
      <w:bookmarkStart w:id="42" w:name="_Toc152042322"/>
      <w:bookmarkStart w:id="43" w:name="_Toc144974514"/>
      <w:bookmarkStart w:id="44" w:name="_Toc14751"/>
      <w:bookmarkStart w:id="45" w:name="_Toc369531534"/>
      <w:bookmarkStart w:id="46" w:name="_Toc247527571"/>
      <w:bookmarkStart w:id="47" w:name="_Toc361508603"/>
      <w:bookmarkStart w:id="48" w:name="_Toc152045546"/>
      <w:bookmarkStart w:id="49" w:name="_Toc384308228"/>
      <w:bookmarkStart w:id="50" w:name="_Toc352691491"/>
      <w:r>
        <w:rPr>
          <w:rFonts w:hint="eastAsia" w:ascii="仿宋" w:hAnsi="仿宋" w:eastAsia="仿宋" w:cs="仿宋"/>
          <w:sz w:val="32"/>
          <w:szCs w:val="32"/>
        </w:rPr>
        <w:t>签订合同后7日</w:t>
      </w:r>
      <w:bookmarkEnd w:id="40"/>
      <w:bookmarkEnd w:id="41"/>
      <w:bookmarkEnd w:id="42"/>
      <w:bookmarkEnd w:id="43"/>
      <w:bookmarkEnd w:id="44"/>
      <w:bookmarkEnd w:id="45"/>
      <w:bookmarkEnd w:id="46"/>
      <w:bookmarkEnd w:id="47"/>
      <w:bookmarkEnd w:id="48"/>
      <w:bookmarkEnd w:id="49"/>
      <w:bookmarkEnd w:id="50"/>
      <w:r>
        <w:rPr>
          <w:rFonts w:hint="eastAsia" w:ascii="仿宋" w:hAnsi="仿宋" w:eastAsia="仿宋" w:cs="仿宋"/>
          <w:sz w:val="32"/>
          <w:szCs w:val="32"/>
        </w:rPr>
        <w:t>内</w:t>
      </w:r>
      <w:bookmarkStart w:id="51" w:name="_Toc17952"/>
      <w:bookmarkStart w:id="52" w:name="_Toc300834968"/>
      <w:bookmarkStart w:id="53" w:name="_Toc352691492"/>
      <w:bookmarkStart w:id="54" w:name="_Toc247527572"/>
      <w:bookmarkStart w:id="55" w:name="_Toc369531535"/>
      <w:bookmarkStart w:id="56" w:name="_Toc152045547"/>
      <w:bookmarkStart w:id="57" w:name="_Toc361508604"/>
      <w:bookmarkStart w:id="58" w:name="_Toc144974515"/>
      <w:bookmarkStart w:id="59" w:name="_Toc384308229"/>
      <w:bookmarkStart w:id="60" w:name="_Toc247513971"/>
      <w:bookmarkStart w:id="61" w:name="_Toc152042323"/>
      <w:r>
        <w:rPr>
          <w:rFonts w:hint="eastAsia" w:ascii="仿宋" w:hAnsi="仿宋" w:eastAsia="仿宋" w:cs="仿宋"/>
          <w:sz w:val="32"/>
          <w:szCs w:val="32"/>
        </w:rPr>
        <w:t>，向未成交的供应商和</w:t>
      </w:r>
      <w:bookmarkEnd w:id="51"/>
      <w:bookmarkEnd w:id="52"/>
      <w:bookmarkEnd w:id="53"/>
      <w:bookmarkEnd w:id="54"/>
      <w:bookmarkEnd w:id="55"/>
      <w:bookmarkEnd w:id="56"/>
      <w:bookmarkEnd w:id="57"/>
      <w:bookmarkEnd w:id="58"/>
      <w:bookmarkEnd w:id="59"/>
      <w:bookmarkEnd w:id="60"/>
      <w:bookmarkEnd w:id="61"/>
      <w:r>
        <w:rPr>
          <w:rFonts w:hint="eastAsia" w:ascii="仿宋" w:hAnsi="仿宋" w:eastAsia="仿宋" w:cs="仿宋"/>
          <w:sz w:val="32"/>
          <w:szCs w:val="32"/>
        </w:rPr>
        <w:t>成交人无息退还响应保证金。</w:t>
      </w:r>
    </w:p>
    <w:p w14:paraId="1BA18A44">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.有下列情形之一的，响应保证金将不予退还：</w:t>
      </w:r>
    </w:p>
    <w:p w14:paraId="225B039D">
      <w:pPr>
        <w:keepNext w:val="0"/>
        <w:keepLines w:val="0"/>
        <w:pageBreakBefore w:val="0"/>
        <w:kinsoku/>
        <w:wordWrap/>
        <w:overflowPunct w:val="0"/>
        <w:topLinePunct w:val="0"/>
        <w:autoSpaceDE/>
        <w:autoSpaceDN/>
        <w:bidi w:val="0"/>
        <w:adjustRightInd/>
        <w:snapToGrid/>
        <w:spacing w:line="560" w:lineRule="exact"/>
        <w:ind w:left="0" w:firstLine="320" w:firstLineChars="100"/>
        <w:textAlignment w:val="auto"/>
        <w:rPr>
          <w:rFonts w:ascii="仿宋" w:hAnsi="仿宋" w:eastAsia="仿宋" w:cs="仿宋"/>
          <w:sz w:val="32"/>
          <w:szCs w:val="32"/>
        </w:rPr>
      </w:pPr>
      <w:r>
        <w:rPr>
          <w:rFonts w:hint="eastAsia" w:ascii="仿宋" w:hAnsi="仿宋" w:eastAsia="仿宋" w:cs="仿宋"/>
          <w:sz w:val="32"/>
          <w:szCs w:val="32"/>
        </w:rPr>
        <w:t>（1）供应商在响应有效期内撤销响应文件；</w:t>
      </w:r>
    </w:p>
    <w:p w14:paraId="308EFE85">
      <w:pPr>
        <w:keepNext w:val="0"/>
        <w:keepLines w:val="0"/>
        <w:pageBreakBefore w:val="0"/>
        <w:kinsoku/>
        <w:wordWrap/>
        <w:overflowPunct w:val="0"/>
        <w:topLinePunct w:val="0"/>
        <w:autoSpaceDE/>
        <w:autoSpaceDN/>
        <w:bidi w:val="0"/>
        <w:adjustRightInd/>
        <w:snapToGrid/>
        <w:spacing w:line="560" w:lineRule="exact"/>
        <w:ind w:left="0" w:firstLine="320" w:firstLineChars="100"/>
        <w:textAlignment w:val="auto"/>
        <w:rPr>
          <w:rFonts w:ascii="仿宋" w:hAnsi="仿宋" w:eastAsia="仿宋" w:cs="仿宋"/>
          <w:sz w:val="32"/>
          <w:szCs w:val="32"/>
        </w:rPr>
      </w:pPr>
      <w:r>
        <w:rPr>
          <w:rFonts w:hint="eastAsia" w:ascii="仿宋" w:hAnsi="仿宋" w:eastAsia="仿宋" w:cs="仿宋"/>
          <w:sz w:val="32"/>
          <w:szCs w:val="32"/>
        </w:rPr>
        <w:t>（2）成交人在收到成交通知后，成交人放弃成交项目的，无正当理由不与采购人订立合同的，在签订合同时向采购人提出附加条件或者更改合同实质性内容的。</w:t>
      </w:r>
    </w:p>
    <w:p w14:paraId="03D4191C">
      <w:pPr>
        <w:pStyle w:val="6"/>
        <w:keepNext w:val="0"/>
        <w:keepLines w:val="0"/>
        <w:pageBreakBefore w:val="0"/>
        <w:kinsoku/>
        <w:wordWrap/>
        <w:overflowPunct w:val="0"/>
        <w:topLinePunct w:val="0"/>
        <w:autoSpaceDE/>
        <w:autoSpaceDN/>
        <w:bidi w:val="0"/>
        <w:adjustRightInd/>
        <w:snapToGrid/>
        <w:spacing w:before="0" w:after="0" w:line="560" w:lineRule="exact"/>
        <w:ind w:left="0" w:firstLine="320" w:firstLineChars="100"/>
        <w:textAlignment w:val="auto"/>
        <w:rPr>
          <w:rFonts w:ascii="仿宋" w:hAnsi="仿宋" w:eastAsia="仿宋" w:cs="仿宋"/>
          <w:sz w:val="32"/>
          <w:szCs w:val="32"/>
        </w:rPr>
      </w:pPr>
      <w:bookmarkStart w:id="62" w:name="_Toc28216"/>
      <w:bookmarkStart w:id="63" w:name="_Toc21871"/>
      <w:bookmarkStart w:id="64" w:name="_Toc24514"/>
      <w:bookmarkStart w:id="65" w:name="_Toc33795794"/>
      <w:r>
        <w:rPr>
          <w:rFonts w:hint="eastAsia" w:ascii="仿宋" w:hAnsi="仿宋" w:eastAsia="仿宋" w:cs="仿宋"/>
          <w:sz w:val="32"/>
          <w:szCs w:val="32"/>
        </w:rPr>
        <w:t>（四）资格审查资料</w:t>
      </w:r>
      <w:bookmarkEnd w:id="62"/>
      <w:bookmarkEnd w:id="63"/>
      <w:bookmarkEnd w:id="64"/>
      <w:bookmarkEnd w:id="65"/>
    </w:p>
    <w:p w14:paraId="04D97B72">
      <w:pPr>
        <w:pStyle w:val="6"/>
        <w:keepNext w:val="0"/>
        <w:keepLines w:val="0"/>
        <w:pageBreakBefore w:val="0"/>
        <w:kinsoku/>
        <w:wordWrap/>
        <w:overflowPunct w:val="0"/>
        <w:topLinePunct w:val="0"/>
        <w:autoSpaceDE/>
        <w:autoSpaceDN/>
        <w:bidi w:val="0"/>
        <w:adjustRightInd/>
        <w:snapToGrid/>
        <w:spacing w:before="0" w:after="0"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供应商应按下列规定提供相关的证明材料，以证明其满足资质、财务、业绩、信誉要求。</w:t>
      </w:r>
    </w:p>
    <w:p w14:paraId="0F96E971">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1.“供应商基本情况表”应附供应商资格或者资质证书副本等材料的复印件，供应商为企业的，应提交营业执照复印件；供应商为依法允许经营的事业单位的，应提交事业单位法人证书和组织机构代码证的复印件。</w:t>
      </w:r>
    </w:p>
    <w:p w14:paraId="28A46350">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2.“近三年完成的类似项目情况表”应附从202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val="en-US" w:eastAsia="zh-CN"/>
        </w:rPr>
        <w:t>1</w:t>
      </w:r>
      <w:r>
        <w:rPr>
          <w:rFonts w:hint="eastAsia" w:ascii="仿宋" w:hAnsi="仿宋" w:eastAsia="仿宋" w:cs="仿宋"/>
          <w:sz w:val="32"/>
          <w:szCs w:val="32"/>
        </w:rPr>
        <w:t>月至今的合同复印件。</w:t>
      </w:r>
    </w:p>
    <w:p w14:paraId="2FC786A3">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微软雅黑" w:hAnsi="微软雅黑" w:eastAsia="微软雅黑" w:cs="微软雅黑"/>
          <w:color w:val="000000"/>
          <w:sz w:val="27"/>
          <w:szCs w:val="27"/>
        </w:rPr>
      </w:pPr>
      <w:r>
        <w:rPr>
          <w:rFonts w:hint="eastAsia" w:ascii="仿宋" w:hAnsi="仿宋" w:eastAsia="仿宋" w:cs="仿宋"/>
          <w:sz w:val="32"/>
          <w:szCs w:val="32"/>
        </w:rPr>
        <w:t>3.“近年发生的诉讼及仲裁情况”应说明相关情况。</w:t>
      </w:r>
    </w:p>
    <w:p w14:paraId="0B0014CE">
      <w:pPr>
        <w:pStyle w:val="16"/>
        <w:keepNext w:val="0"/>
        <w:keepLines w:val="0"/>
        <w:pageBreakBefore w:val="0"/>
        <w:kinsoku/>
        <w:wordWrap/>
        <w:topLinePunct w:val="0"/>
        <w:autoSpaceDE/>
        <w:autoSpaceDN/>
        <w:bidi w:val="0"/>
        <w:adjustRightInd/>
        <w:snapToGrid/>
        <w:spacing w:before="0" w:after="0" w:line="560" w:lineRule="exact"/>
        <w:ind w:left="0" w:firstLine="647" w:firstLineChars="200"/>
        <w:textAlignment w:val="auto"/>
        <w:rPr>
          <w:rFonts w:ascii="仿宋" w:hAnsi="仿宋" w:eastAsia="仿宋" w:cs="仿宋"/>
          <w:b/>
          <w:bCs/>
          <w:spacing w:val="1"/>
          <w:sz w:val="32"/>
          <w:szCs w:val="32"/>
          <w:lang w:eastAsia="zh-CN"/>
        </w:rPr>
      </w:pPr>
      <w:r>
        <w:rPr>
          <w:rFonts w:hint="eastAsia" w:ascii="仿宋" w:hAnsi="仿宋" w:eastAsia="仿宋" w:cs="仿宋"/>
          <w:b/>
          <w:bCs/>
          <w:spacing w:val="1"/>
          <w:sz w:val="32"/>
          <w:szCs w:val="32"/>
          <w:lang w:eastAsia="zh-CN"/>
        </w:rPr>
        <w:t>四、响应文件的提交</w:t>
      </w:r>
    </w:p>
    <w:p w14:paraId="54410485">
      <w:pPr>
        <w:pStyle w:val="16"/>
        <w:keepNext w:val="0"/>
        <w:keepLines w:val="0"/>
        <w:pageBreakBefore w:val="0"/>
        <w:kinsoku/>
        <w:wordWrap/>
        <w:topLinePunct w:val="0"/>
        <w:autoSpaceDE/>
        <w:autoSpaceDN/>
        <w:bidi w:val="0"/>
        <w:adjustRightInd/>
        <w:snapToGrid/>
        <w:spacing w:before="0" w:after="0" w:line="560" w:lineRule="exact"/>
        <w:ind w:left="0" w:firstLine="644" w:firstLineChars="200"/>
        <w:textAlignment w:val="auto"/>
        <w:rPr>
          <w:rFonts w:ascii="仿宋" w:hAnsi="仿宋" w:eastAsia="仿宋" w:cs="仿宋"/>
          <w:spacing w:val="1"/>
          <w:sz w:val="32"/>
          <w:szCs w:val="32"/>
          <w:lang w:eastAsia="zh-CN"/>
        </w:rPr>
      </w:pPr>
      <w:r>
        <w:rPr>
          <w:rFonts w:hint="eastAsia" w:ascii="仿宋" w:hAnsi="仿宋" w:eastAsia="仿宋" w:cs="仿宋"/>
          <w:spacing w:val="1"/>
          <w:sz w:val="32"/>
          <w:szCs w:val="32"/>
          <w:lang w:eastAsia="zh-CN"/>
        </w:rPr>
        <w:t>（一）响应文件提交截止时间：202</w:t>
      </w:r>
      <w:r>
        <w:rPr>
          <w:rFonts w:hint="eastAsia" w:ascii="仿宋" w:hAnsi="仿宋" w:eastAsia="仿宋" w:cs="仿宋"/>
          <w:spacing w:val="1"/>
          <w:sz w:val="32"/>
          <w:szCs w:val="32"/>
          <w:lang w:val="en-US" w:eastAsia="zh-CN"/>
        </w:rPr>
        <w:t>6</w:t>
      </w:r>
      <w:r>
        <w:rPr>
          <w:rFonts w:hint="eastAsia" w:ascii="仿宋" w:hAnsi="仿宋" w:eastAsia="仿宋" w:cs="仿宋"/>
          <w:spacing w:val="1"/>
          <w:sz w:val="32"/>
          <w:szCs w:val="32"/>
          <w:lang w:eastAsia="zh-CN"/>
        </w:rPr>
        <w:t>年</w:t>
      </w:r>
      <w:r>
        <w:rPr>
          <w:rFonts w:hint="eastAsia" w:ascii="仿宋" w:hAnsi="仿宋" w:eastAsia="仿宋" w:cs="仿宋"/>
          <w:spacing w:val="1"/>
          <w:sz w:val="32"/>
          <w:szCs w:val="32"/>
          <w:lang w:val="en-US" w:eastAsia="zh-CN"/>
        </w:rPr>
        <w:t>2</w:t>
      </w:r>
      <w:r>
        <w:rPr>
          <w:rFonts w:hint="eastAsia" w:ascii="仿宋" w:hAnsi="仿宋" w:eastAsia="仿宋" w:cs="仿宋"/>
          <w:spacing w:val="1"/>
          <w:sz w:val="32"/>
          <w:szCs w:val="32"/>
          <w:lang w:eastAsia="zh-CN"/>
        </w:rPr>
        <w:t>月</w:t>
      </w:r>
      <w:r>
        <w:rPr>
          <w:rFonts w:hint="eastAsia" w:ascii="仿宋" w:hAnsi="仿宋" w:eastAsia="仿宋" w:cs="仿宋"/>
          <w:spacing w:val="1"/>
          <w:sz w:val="32"/>
          <w:szCs w:val="32"/>
          <w:lang w:val="en-US" w:eastAsia="zh-CN"/>
        </w:rPr>
        <w:t>10</w:t>
      </w:r>
      <w:r>
        <w:rPr>
          <w:rFonts w:hint="eastAsia" w:ascii="仿宋" w:hAnsi="仿宋" w:eastAsia="仿宋" w:cs="仿宋"/>
          <w:spacing w:val="1"/>
          <w:sz w:val="32"/>
          <w:szCs w:val="32"/>
          <w:lang w:eastAsia="zh-CN"/>
        </w:rPr>
        <w:t>日11时0分（北京时间）；</w:t>
      </w:r>
    </w:p>
    <w:p w14:paraId="5743FE52">
      <w:pPr>
        <w:pStyle w:val="16"/>
        <w:keepNext w:val="0"/>
        <w:keepLines w:val="0"/>
        <w:pageBreakBefore w:val="0"/>
        <w:kinsoku/>
        <w:wordWrap/>
        <w:topLinePunct w:val="0"/>
        <w:autoSpaceDE/>
        <w:autoSpaceDN/>
        <w:bidi w:val="0"/>
        <w:adjustRightInd/>
        <w:snapToGrid/>
        <w:spacing w:before="0" w:after="0" w:line="560" w:lineRule="exact"/>
        <w:ind w:left="0" w:firstLine="644" w:firstLineChars="200"/>
        <w:textAlignment w:val="auto"/>
        <w:rPr>
          <w:rFonts w:ascii="仿宋" w:hAnsi="仿宋" w:eastAsia="仿宋" w:cs="仿宋"/>
          <w:sz w:val="32"/>
          <w:szCs w:val="32"/>
          <w:lang w:eastAsia="zh-CN"/>
        </w:rPr>
      </w:pPr>
      <w:r>
        <w:rPr>
          <w:rFonts w:hint="eastAsia" w:ascii="仿宋" w:hAnsi="仿宋" w:eastAsia="仿宋" w:cs="仿宋"/>
          <w:spacing w:val="1"/>
          <w:sz w:val="32"/>
          <w:szCs w:val="32"/>
          <w:lang w:eastAsia="zh-CN"/>
        </w:rPr>
        <w:t>（二）提交方法：</w:t>
      </w:r>
      <w:r>
        <w:rPr>
          <w:rFonts w:hint="eastAsia" w:ascii="仿宋" w:hAnsi="仿宋" w:eastAsia="仿宋" w:cs="仿宋"/>
          <w:sz w:val="32"/>
          <w:szCs w:val="32"/>
          <w:lang w:eastAsia="zh-CN"/>
        </w:rPr>
        <w:t>将响应文件密封后直接送达或邮寄至</w:t>
      </w:r>
      <w:r>
        <w:rPr>
          <w:rFonts w:hint="eastAsia" w:ascii="仿宋" w:hAnsi="仿宋" w:eastAsia="仿宋" w:cs="仿宋"/>
          <w:b/>
          <w:bCs/>
          <w:sz w:val="32"/>
          <w:szCs w:val="32"/>
          <w:lang w:eastAsia="zh-CN"/>
        </w:rPr>
        <w:t>陕西锌业有限公司办公楼</w:t>
      </w:r>
      <w:r>
        <w:rPr>
          <w:rFonts w:hint="eastAsia" w:ascii="仿宋" w:hAnsi="仿宋" w:eastAsia="仿宋" w:cs="仿宋"/>
          <w:b/>
          <w:bCs/>
          <w:sz w:val="32"/>
          <w:szCs w:val="32"/>
          <w:lang w:val="en-US" w:eastAsia="zh-CN"/>
        </w:rPr>
        <w:t>一</w:t>
      </w:r>
      <w:r>
        <w:rPr>
          <w:rFonts w:hint="eastAsia" w:ascii="仿宋" w:hAnsi="仿宋" w:eastAsia="仿宋" w:cs="仿宋"/>
          <w:b/>
          <w:bCs/>
          <w:sz w:val="32"/>
          <w:szCs w:val="32"/>
          <w:lang w:eastAsia="zh-CN"/>
        </w:rPr>
        <w:t>楼招投标办公室</w:t>
      </w:r>
      <w:r>
        <w:rPr>
          <w:rFonts w:hint="eastAsia" w:ascii="仿宋" w:hAnsi="仿宋" w:eastAsia="仿宋" w:cs="仿宋"/>
          <w:sz w:val="32"/>
          <w:szCs w:val="32"/>
          <w:lang w:eastAsia="zh-CN"/>
        </w:rPr>
        <w:t>。</w:t>
      </w:r>
    </w:p>
    <w:p w14:paraId="36E7FDC0">
      <w:pPr>
        <w:pStyle w:val="10"/>
        <w:keepNext w:val="0"/>
        <w:keepLines w:val="0"/>
        <w:pageBreakBefore w:val="0"/>
        <w:widowControl/>
        <w:kinsoku/>
        <w:wordWrap/>
        <w:topLinePunct w:val="0"/>
        <w:autoSpaceDE/>
        <w:autoSpaceDN/>
        <w:bidi w:val="0"/>
        <w:adjustRightInd/>
        <w:snapToGrid/>
        <w:spacing w:beforeAutospacing="0" w:afterAutospacing="0" w:line="560" w:lineRule="exact"/>
        <w:ind w:left="0" w:firstLine="645"/>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邮递地址：陕西省商洛市商州区沙河子镇陕西锌业有限公司</w:t>
      </w:r>
      <w:r>
        <w:rPr>
          <w:rFonts w:hint="eastAsia" w:ascii="仿宋" w:hAnsi="仿宋" w:eastAsia="仿宋" w:cs="仿宋"/>
          <w:b/>
          <w:bCs/>
          <w:sz w:val="32"/>
          <w:szCs w:val="32"/>
        </w:rPr>
        <w:t>招投标办公室</w:t>
      </w:r>
      <w:r>
        <w:rPr>
          <w:rFonts w:hint="eastAsia" w:ascii="仿宋" w:hAnsi="仿宋" w:eastAsia="仿宋" w:cs="仿宋"/>
          <w:color w:val="000000"/>
          <w:sz w:val="32"/>
          <w:szCs w:val="32"/>
        </w:rPr>
        <w:t>  </w:t>
      </w:r>
    </w:p>
    <w:p w14:paraId="2F3AABBA">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rPr>
          <w:rFonts w:hint="eastAsia" w:ascii="仿宋" w:hAnsi="仿宋" w:eastAsia="仿宋" w:cs="仿宋"/>
          <w:color w:val="000000"/>
          <w:sz w:val="32"/>
          <w:szCs w:val="32"/>
        </w:rPr>
      </w:pPr>
      <w:r>
        <w:rPr>
          <w:rFonts w:hint="eastAsia" w:ascii="仿宋" w:hAnsi="仿宋" w:eastAsia="仿宋" w:cs="仿宋"/>
          <w:i w:val="0"/>
          <w:iCs w:val="0"/>
          <w:caps w:val="0"/>
          <w:color w:val="000000"/>
          <w:spacing w:val="0"/>
          <w:sz w:val="32"/>
          <w:szCs w:val="32"/>
          <w:lang w:val="en-US" w:eastAsia="zh-CN"/>
        </w:rPr>
        <w:t>（三）</w:t>
      </w:r>
      <w:r>
        <w:rPr>
          <w:rFonts w:hint="eastAsia" w:ascii="仿宋" w:hAnsi="仿宋" w:eastAsia="仿宋" w:cs="仿宋"/>
          <w:i w:val="0"/>
          <w:iCs w:val="0"/>
          <w:caps w:val="0"/>
          <w:color w:val="000000"/>
          <w:spacing w:val="0"/>
          <w:sz w:val="32"/>
          <w:szCs w:val="32"/>
        </w:rPr>
        <w:t>逾期送达或者未送达指定地点的询比采购文件，询比采购人不予受理，报价通过密封送达或邮递的方式，</w:t>
      </w:r>
      <w:r>
        <w:rPr>
          <w:rStyle w:val="14"/>
          <w:rFonts w:hint="eastAsia" w:ascii="仿宋" w:hAnsi="仿宋" w:eastAsia="仿宋" w:cs="仿宋"/>
          <w:i w:val="0"/>
          <w:iCs w:val="0"/>
          <w:caps w:val="0"/>
          <w:color w:val="000000"/>
          <w:spacing w:val="0"/>
          <w:sz w:val="32"/>
          <w:szCs w:val="32"/>
        </w:rPr>
        <w:t>未密封的报价按无效报价处理</w:t>
      </w:r>
      <w:r>
        <w:rPr>
          <w:rFonts w:hint="eastAsia" w:ascii="仿宋" w:hAnsi="仿宋" w:eastAsia="仿宋" w:cs="仿宋"/>
          <w:i w:val="0"/>
          <w:iCs w:val="0"/>
          <w:caps w:val="0"/>
          <w:color w:val="000000"/>
          <w:spacing w:val="0"/>
          <w:sz w:val="32"/>
          <w:szCs w:val="32"/>
        </w:rPr>
        <w:t>。</w:t>
      </w:r>
      <w:r>
        <w:rPr>
          <w:rFonts w:hint="eastAsia" w:ascii="仿宋" w:hAnsi="仿宋" w:eastAsia="仿宋" w:cs="仿宋"/>
          <w:b/>
          <w:bCs/>
          <w:i w:val="0"/>
          <w:iCs w:val="0"/>
          <w:caps w:val="0"/>
          <w:color w:val="000000"/>
          <w:spacing w:val="0"/>
          <w:sz w:val="32"/>
          <w:szCs w:val="32"/>
          <w:lang w:eastAsia="zh-CN"/>
        </w:rPr>
        <w:t>（</w:t>
      </w:r>
      <w:r>
        <w:rPr>
          <w:rFonts w:hint="eastAsia" w:ascii="仿宋" w:hAnsi="仿宋" w:eastAsia="仿宋" w:cs="仿宋"/>
          <w:b/>
          <w:bCs/>
          <w:i w:val="0"/>
          <w:iCs w:val="0"/>
          <w:caps w:val="0"/>
          <w:color w:val="000000"/>
          <w:spacing w:val="0"/>
          <w:sz w:val="32"/>
          <w:szCs w:val="32"/>
          <w:lang w:val="en-US" w:eastAsia="zh-CN"/>
        </w:rPr>
        <w:t>档案袋需要密封，并在封条上盖章，档案袋上需注明所投项目名称、报价人单位名称、报价人姓名、电话等信息，并盖章</w:t>
      </w:r>
      <w:r>
        <w:rPr>
          <w:rFonts w:hint="eastAsia" w:ascii="仿宋" w:hAnsi="仿宋" w:eastAsia="仿宋" w:cs="仿宋"/>
          <w:b/>
          <w:bCs/>
          <w:i w:val="0"/>
          <w:iCs w:val="0"/>
          <w:caps w:val="0"/>
          <w:color w:val="000000"/>
          <w:spacing w:val="0"/>
          <w:sz w:val="32"/>
          <w:szCs w:val="32"/>
          <w:lang w:eastAsia="zh-CN"/>
        </w:rPr>
        <w:t>）</w:t>
      </w:r>
    </w:p>
    <w:p w14:paraId="470B66CD">
      <w:pPr>
        <w:pStyle w:val="10"/>
        <w:keepNext w:val="0"/>
        <w:keepLines w:val="0"/>
        <w:pageBreakBefore w:val="0"/>
        <w:widowControl/>
        <w:kinsoku/>
        <w:wordWrap/>
        <w:topLinePunct w:val="0"/>
        <w:autoSpaceDE/>
        <w:autoSpaceDN/>
        <w:bidi w:val="0"/>
        <w:adjustRightInd/>
        <w:snapToGrid/>
        <w:spacing w:beforeAutospacing="0" w:afterAutospacing="0" w:line="560" w:lineRule="exact"/>
        <w:ind w:left="0" w:firstLine="645"/>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rPr>
        <w:t>收件人：</w:t>
      </w:r>
      <w:r>
        <w:rPr>
          <w:rFonts w:hint="eastAsia" w:ascii="仿宋" w:hAnsi="仿宋" w:eastAsia="仿宋" w:cs="仿宋"/>
          <w:color w:val="000000"/>
          <w:sz w:val="32"/>
          <w:szCs w:val="32"/>
          <w:lang w:val="en-US" w:eastAsia="zh-CN"/>
        </w:rPr>
        <w:t>白浩楠</w:t>
      </w:r>
      <w:r>
        <w:rPr>
          <w:rFonts w:hint="eastAsia" w:ascii="仿宋" w:hAnsi="仿宋" w:eastAsia="仿宋" w:cs="仿宋"/>
          <w:color w:val="000000"/>
          <w:sz w:val="32"/>
          <w:szCs w:val="32"/>
        </w:rPr>
        <w:t>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电话：</w:t>
      </w:r>
      <w:r>
        <w:rPr>
          <w:rFonts w:hint="eastAsia" w:ascii="仿宋" w:hAnsi="仿宋" w:eastAsia="仿宋" w:cs="仿宋"/>
          <w:color w:val="000000"/>
          <w:sz w:val="32"/>
          <w:szCs w:val="32"/>
          <w:lang w:val="en-US" w:eastAsia="zh-CN"/>
        </w:rPr>
        <w:t>18329587208</w:t>
      </w:r>
    </w:p>
    <w:p w14:paraId="32F8F01E">
      <w:pPr>
        <w:pStyle w:val="10"/>
        <w:keepNext w:val="0"/>
        <w:keepLines w:val="0"/>
        <w:pageBreakBefore w:val="0"/>
        <w:widowControl/>
        <w:kinsoku/>
        <w:wordWrap/>
        <w:topLinePunct w:val="0"/>
        <w:autoSpaceDE/>
        <w:autoSpaceDN/>
        <w:bidi w:val="0"/>
        <w:adjustRightInd/>
        <w:snapToGrid/>
        <w:spacing w:beforeAutospacing="0" w:afterAutospacing="0" w:line="560" w:lineRule="exact"/>
        <w:ind w:left="0" w:firstLine="645"/>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rPr>
        <w:t>技术联系人</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杜正锋     电话：18991560164</w:t>
      </w:r>
    </w:p>
    <w:p w14:paraId="55541E72">
      <w:pPr>
        <w:pStyle w:val="10"/>
        <w:keepNext w:val="0"/>
        <w:keepLines w:val="0"/>
        <w:pageBreakBefore w:val="0"/>
        <w:widowControl/>
        <w:kinsoku/>
        <w:wordWrap/>
        <w:topLinePunct w:val="0"/>
        <w:autoSpaceDE/>
        <w:autoSpaceDN/>
        <w:bidi w:val="0"/>
        <w:adjustRightInd/>
        <w:snapToGrid/>
        <w:spacing w:beforeAutospacing="0" w:afterAutospacing="0" w:line="560" w:lineRule="exact"/>
        <w:ind w:left="0" w:firstLine="645"/>
        <w:textAlignment w:val="auto"/>
        <w:rPr>
          <w:rFonts w:ascii="仿宋" w:hAnsi="仿宋" w:eastAsia="仿宋" w:cs="仿宋"/>
          <w:szCs w:val="32"/>
        </w:rPr>
      </w:pPr>
      <w:r>
        <w:rPr>
          <w:rStyle w:val="14"/>
          <w:rFonts w:hint="eastAsia" w:ascii="仿宋" w:hAnsi="仿宋" w:eastAsia="仿宋" w:cs="仿宋"/>
          <w:color w:val="000000"/>
          <w:sz w:val="32"/>
          <w:szCs w:val="32"/>
        </w:rPr>
        <w:t>五、响应文件的</w:t>
      </w:r>
      <w:r>
        <w:rPr>
          <w:rFonts w:hint="eastAsia" w:ascii="仿宋" w:hAnsi="仿宋" w:eastAsia="仿宋" w:cs="仿宋"/>
          <w:sz w:val="32"/>
          <w:szCs w:val="32"/>
        </w:rPr>
        <w:t>评审</w:t>
      </w:r>
    </w:p>
    <w:p w14:paraId="7AD8EBE5">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sz w:val="32"/>
          <w:szCs w:val="32"/>
        </w:rPr>
      </w:pPr>
      <w:bookmarkStart w:id="66" w:name="_Toc9481"/>
      <w:bookmarkStart w:id="67" w:name="_Toc33795807"/>
      <w:bookmarkStart w:id="68" w:name="_Toc8518"/>
      <w:r>
        <w:rPr>
          <w:rFonts w:hint="eastAsia" w:ascii="仿宋" w:hAnsi="仿宋" w:eastAsia="仿宋" w:cs="仿宋"/>
          <w:sz w:val="32"/>
          <w:szCs w:val="32"/>
        </w:rPr>
        <w:t>本项目评审采用综合评估法，详见附表。</w:t>
      </w:r>
    </w:p>
    <w:p w14:paraId="5CA71778">
      <w:pPr>
        <w:pStyle w:val="5"/>
        <w:keepNext w:val="0"/>
        <w:keepLines w:val="0"/>
        <w:pageBreakBefore w:val="0"/>
        <w:kinsoku/>
        <w:wordWrap/>
        <w:overflowPunct w:val="0"/>
        <w:topLinePunct w:val="0"/>
        <w:autoSpaceDE/>
        <w:autoSpaceDN/>
        <w:bidi w:val="0"/>
        <w:adjustRightInd/>
        <w:snapToGrid/>
        <w:spacing w:before="0" w:after="0" w:line="560" w:lineRule="exact"/>
        <w:ind w:left="0" w:firstLine="643" w:firstLineChars="200"/>
        <w:textAlignment w:val="auto"/>
        <w:rPr>
          <w:rFonts w:ascii="仿宋" w:hAnsi="仿宋" w:eastAsia="仿宋" w:cs="仿宋"/>
          <w:szCs w:val="32"/>
        </w:rPr>
      </w:pPr>
      <w:r>
        <w:rPr>
          <w:rFonts w:hint="eastAsia" w:ascii="仿宋" w:hAnsi="仿宋" w:eastAsia="仿宋" w:cs="仿宋"/>
          <w:szCs w:val="32"/>
        </w:rPr>
        <w:t>六、合同授予</w:t>
      </w:r>
      <w:bookmarkEnd w:id="66"/>
      <w:bookmarkEnd w:id="67"/>
      <w:bookmarkEnd w:id="68"/>
    </w:p>
    <w:p w14:paraId="707247BD">
      <w:pPr>
        <w:pStyle w:val="6"/>
        <w:keepNext w:val="0"/>
        <w:keepLines w:val="0"/>
        <w:pageBreakBefore w:val="0"/>
        <w:kinsoku/>
        <w:wordWrap/>
        <w:overflowPunct w:val="0"/>
        <w:topLinePunct w:val="0"/>
        <w:autoSpaceDE/>
        <w:autoSpaceDN/>
        <w:bidi w:val="0"/>
        <w:adjustRightInd/>
        <w:snapToGrid/>
        <w:spacing w:before="0" w:after="0" w:line="560" w:lineRule="exact"/>
        <w:ind w:left="0" w:firstLine="320" w:firstLineChars="100"/>
        <w:textAlignment w:val="auto"/>
        <w:rPr>
          <w:rFonts w:ascii="仿宋" w:hAnsi="仿宋" w:eastAsia="仿宋" w:cs="仿宋"/>
          <w:sz w:val="32"/>
          <w:szCs w:val="32"/>
        </w:rPr>
      </w:pPr>
      <w:bookmarkStart w:id="69" w:name="_Toc21093"/>
      <w:bookmarkStart w:id="70" w:name="_Toc30852"/>
      <w:bookmarkStart w:id="71" w:name="_Toc33795808"/>
      <w:bookmarkStart w:id="72" w:name="_Toc16094"/>
      <w:r>
        <w:rPr>
          <w:rFonts w:hint="eastAsia" w:ascii="仿宋" w:hAnsi="仿宋" w:eastAsia="仿宋" w:cs="仿宋"/>
          <w:sz w:val="32"/>
          <w:szCs w:val="32"/>
        </w:rPr>
        <w:t>（一）成交候选人公示</w:t>
      </w:r>
      <w:bookmarkEnd w:id="69"/>
      <w:bookmarkEnd w:id="70"/>
      <w:bookmarkEnd w:id="71"/>
      <w:bookmarkEnd w:id="72"/>
    </w:p>
    <w:p w14:paraId="013156DF">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sz w:val="32"/>
          <w:szCs w:val="32"/>
        </w:rPr>
      </w:pPr>
      <w:bookmarkStart w:id="73" w:name="_Toc7018"/>
      <w:bookmarkStart w:id="74" w:name="_Toc10372"/>
      <w:bookmarkStart w:id="75" w:name="_Toc19079"/>
      <w:bookmarkStart w:id="76" w:name="_Toc33795809"/>
      <w:r>
        <w:rPr>
          <w:rFonts w:hint="eastAsia" w:ascii="仿宋" w:hAnsi="仿宋" w:eastAsia="仿宋" w:cs="仿宋"/>
          <w:sz w:val="32"/>
          <w:szCs w:val="32"/>
        </w:rPr>
        <w:t>在陕西锌业有限公司网络采购平台www.sxxyjjpt.com公示成交候选人，公示期不少于3天。</w:t>
      </w:r>
    </w:p>
    <w:p w14:paraId="154EFE06">
      <w:pPr>
        <w:pStyle w:val="6"/>
        <w:keepNext w:val="0"/>
        <w:keepLines w:val="0"/>
        <w:pageBreakBefore w:val="0"/>
        <w:kinsoku/>
        <w:wordWrap/>
        <w:overflowPunct w:val="0"/>
        <w:topLinePunct w:val="0"/>
        <w:autoSpaceDE/>
        <w:autoSpaceDN/>
        <w:bidi w:val="0"/>
        <w:adjustRightInd/>
        <w:snapToGrid/>
        <w:spacing w:before="0" w:after="0" w:line="560" w:lineRule="exact"/>
        <w:ind w:left="0" w:firstLine="320" w:firstLineChars="100"/>
        <w:textAlignment w:val="auto"/>
        <w:rPr>
          <w:rFonts w:ascii="仿宋" w:hAnsi="仿宋" w:eastAsia="仿宋" w:cs="仿宋"/>
          <w:sz w:val="32"/>
          <w:szCs w:val="32"/>
        </w:rPr>
      </w:pPr>
      <w:r>
        <w:rPr>
          <w:rFonts w:hint="eastAsia" w:ascii="仿宋" w:hAnsi="仿宋" w:eastAsia="仿宋" w:cs="仿宋"/>
          <w:sz w:val="32"/>
          <w:szCs w:val="32"/>
        </w:rPr>
        <w:t>（二）评审结果异议</w:t>
      </w:r>
      <w:bookmarkEnd w:id="73"/>
      <w:bookmarkEnd w:id="74"/>
      <w:bookmarkEnd w:id="75"/>
      <w:bookmarkEnd w:id="76"/>
    </w:p>
    <w:p w14:paraId="5BCB21B5">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供应商或者其他利</w:t>
      </w:r>
      <w:bookmarkStart w:id="77" w:name="_Toc300834982"/>
      <w:bookmarkStart w:id="78" w:name="_Toc152042337"/>
      <w:bookmarkStart w:id="79" w:name="_Toc247527586"/>
      <w:bookmarkStart w:id="80" w:name="_Toc369531549"/>
      <w:bookmarkStart w:id="81" w:name="_Toc352691505"/>
      <w:bookmarkStart w:id="82" w:name="_Toc30095"/>
      <w:bookmarkStart w:id="83" w:name="_Toc247513985"/>
      <w:bookmarkStart w:id="84" w:name="_Toc361508618"/>
      <w:bookmarkStart w:id="85" w:name="_Toc152045561"/>
      <w:bookmarkStart w:id="86" w:name="_Toc384308243"/>
      <w:bookmarkStart w:id="87" w:name="_Toc144974529"/>
      <w:r>
        <w:rPr>
          <w:rFonts w:hint="eastAsia" w:ascii="仿宋" w:hAnsi="仿宋" w:eastAsia="仿宋" w:cs="仿宋"/>
          <w:sz w:val="32"/>
          <w:szCs w:val="32"/>
        </w:rPr>
        <w:t>害关系人对</w:t>
      </w:r>
      <w:bookmarkEnd w:id="77"/>
      <w:bookmarkEnd w:id="78"/>
      <w:bookmarkEnd w:id="79"/>
      <w:bookmarkEnd w:id="80"/>
      <w:bookmarkEnd w:id="81"/>
      <w:bookmarkEnd w:id="82"/>
      <w:bookmarkEnd w:id="83"/>
      <w:bookmarkEnd w:id="84"/>
      <w:bookmarkEnd w:id="85"/>
      <w:bookmarkEnd w:id="86"/>
      <w:bookmarkEnd w:id="87"/>
      <w:r>
        <w:rPr>
          <w:rFonts w:hint="eastAsia" w:ascii="仿宋" w:hAnsi="仿宋" w:eastAsia="仿宋" w:cs="仿宋"/>
          <w:sz w:val="32"/>
          <w:szCs w:val="32"/>
        </w:rPr>
        <w:t>评审结果有异议的，应当在成交候选人公示期间提出。采购人在收到异议之日起3日内对异议作出答复；作出答复前，将暂停询比采购活动。</w:t>
      </w:r>
    </w:p>
    <w:p w14:paraId="46BB5964">
      <w:pPr>
        <w:pStyle w:val="6"/>
        <w:keepNext w:val="0"/>
        <w:keepLines w:val="0"/>
        <w:pageBreakBefore w:val="0"/>
        <w:kinsoku/>
        <w:wordWrap/>
        <w:overflowPunct w:val="0"/>
        <w:topLinePunct w:val="0"/>
        <w:autoSpaceDE/>
        <w:autoSpaceDN/>
        <w:bidi w:val="0"/>
        <w:adjustRightInd/>
        <w:snapToGrid/>
        <w:spacing w:before="0" w:after="0" w:line="560" w:lineRule="exact"/>
        <w:ind w:left="0" w:firstLine="320" w:firstLineChars="100"/>
        <w:textAlignment w:val="auto"/>
        <w:rPr>
          <w:rFonts w:ascii="仿宋" w:hAnsi="仿宋" w:eastAsia="仿宋" w:cs="仿宋"/>
          <w:sz w:val="32"/>
          <w:szCs w:val="32"/>
        </w:rPr>
      </w:pPr>
      <w:bookmarkStart w:id="88" w:name="_Toc28756"/>
      <w:bookmarkStart w:id="89" w:name="_Toc25590"/>
      <w:bookmarkStart w:id="90" w:name="_Toc33795810"/>
      <w:bookmarkStart w:id="91" w:name="_Toc21648"/>
      <w:r>
        <w:rPr>
          <w:rFonts w:hint="eastAsia" w:ascii="仿宋" w:hAnsi="仿宋" w:eastAsia="仿宋" w:cs="仿宋"/>
          <w:sz w:val="32"/>
          <w:szCs w:val="32"/>
        </w:rPr>
        <w:t>（三）成交候选人履约能力审查</w:t>
      </w:r>
      <w:bookmarkEnd w:id="88"/>
      <w:bookmarkEnd w:id="89"/>
      <w:bookmarkEnd w:id="90"/>
      <w:bookmarkEnd w:id="91"/>
    </w:p>
    <w:p w14:paraId="7B875033">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成交候选人的经营、财务状况发生较大变化或存在违法行为，采购人认为可能影响其履约能力的，采购人招标办公室将在发出成交通知书前提请原评审小组按照询比采购文件规定的标准和方法进行审查和确认。</w:t>
      </w:r>
    </w:p>
    <w:p w14:paraId="065B4EE3">
      <w:pPr>
        <w:pStyle w:val="6"/>
        <w:keepNext w:val="0"/>
        <w:keepLines w:val="0"/>
        <w:pageBreakBefore w:val="0"/>
        <w:kinsoku/>
        <w:wordWrap/>
        <w:overflowPunct w:val="0"/>
        <w:topLinePunct w:val="0"/>
        <w:autoSpaceDE/>
        <w:autoSpaceDN/>
        <w:bidi w:val="0"/>
        <w:adjustRightInd/>
        <w:snapToGrid/>
        <w:spacing w:before="0" w:after="0" w:line="560" w:lineRule="exact"/>
        <w:ind w:left="0" w:firstLine="320" w:firstLineChars="100"/>
        <w:textAlignment w:val="auto"/>
        <w:rPr>
          <w:rFonts w:ascii="仿宋" w:hAnsi="仿宋" w:eastAsia="仿宋" w:cs="仿宋"/>
          <w:sz w:val="32"/>
          <w:szCs w:val="32"/>
        </w:rPr>
      </w:pPr>
      <w:bookmarkStart w:id="92" w:name="_Toc19470"/>
      <w:bookmarkStart w:id="93" w:name="_Toc24665"/>
      <w:bookmarkStart w:id="94" w:name="_Toc2191"/>
      <w:bookmarkStart w:id="95" w:name="_Toc33795811"/>
      <w:r>
        <w:rPr>
          <w:rFonts w:hint="eastAsia" w:ascii="仿宋" w:hAnsi="仿宋" w:eastAsia="仿宋" w:cs="仿宋"/>
          <w:sz w:val="32"/>
          <w:szCs w:val="32"/>
        </w:rPr>
        <w:t>（四）</w:t>
      </w:r>
      <w:bookmarkEnd w:id="92"/>
      <w:bookmarkEnd w:id="93"/>
      <w:bookmarkEnd w:id="94"/>
      <w:bookmarkEnd w:id="95"/>
      <w:r>
        <w:rPr>
          <w:rFonts w:hint="eastAsia" w:ascii="仿宋" w:hAnsi="仿宋" w:eastAsia="仿宋" w:cs="仿宋"/>
          <w:sz w:val="32"/>
          <w:szCs w:val="32"/>
        </w:rPr>
        <w:t>确定成交人</w:t>
      </w:r>
    </w:p>
    <w:p w14:paraId="0475F37C">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采购人单位履行内部审批程序，根据评审小组的评审报告及成交人候选人名单确定成交人。</w:t>
      </w:r>
    </w:p>
    <w:p w14:paraId="516B1981">
      <w:pPr>
        <w:pStyle w:val="6"/>
        <w:keepNext w:val="0"/>
        <w:keepLines w:val="0"/>
        <w:pageBreakBefore w:val="0"/>
        <w:kinsoku/>
        <w:wordWrap/>
        <w:overflowPunct w:val="0"/>
        <w:topLinePunct w:val="0"/>
        <w:autoSpaceDE/>
        <w:autoSpaceDN/>
        <w:bidi w:val="0"/>
        <w:adjustRightInd/>
        <w:snapToGrid/>
        <w:spacing w:before="0" w:after="0" w:line="560" w:lineRule="exact"/>
        <w:ind w:left="0"/>
        <w:textAlignment w:val="auto"/>
        <w:rPr>
          <w:rFonts w:ascii="仿宋" w:hAnsi="仿宋" w:eastAsia="仿宋" w:cs="仿宋"/>
          <w:sz w:val="32"/>
          <w:szCs w:val="32"/>
        </w:rPr>
      </w:pPr>
      <w:bookmarkStart w:id="96" w:name="_Toc3671"/>
      <w:bookmarkStart w:id="97" w:name="_Toc33795814"/>
      <w:bookmarkStart w:id="98" w:name="_Toc11183"/>
      <w:bookmarkStart w:id="99" w:name="_Toc14362"/>
      <w:r>
        <w:rPr>
          <w:rFonts w:hint="eastAsia" w:ascii="仿宋" w:hAnsi="仿宋" w:eastAsia="仿宋" w:cs="仿宋"/>
          <w:sz w:val="32"/>
          <w:szCs w:val="32"/>
        </w:rPr>
        <w:t>（</w:t>
      </w:r>
      <w:r>
        <w:rPr>
          <w:rFonts w:hint="eastAsia" w:ascii="仿宋" w:hAnsi="仿宋" w:eastAsia="仿宋" w:cs="仿宋"/>
          <w:sz w:val="32"/>
          <w:szCs w:val="32"/>
          <w:lang w:val="en-US" w:eastAsia="zh-CN"/>
        </w:rPr>
        <w:t>五</w:t>
      </w:r>
      <w:r>
        <w:rPr>
          <w:rFonts w:hint="eastAsia" w:ascii="仿宋" w:hAnsi="仿宋" w:eastAsia="仿宋" w:cs="仿宋"/>
          <w:sz w:val="32"/>
          <w:szCs w:val="32"/>
        </w:rPr>
        <w:t>）签订合同</w:t>
      </w:r>
      <w:bookmarkEnd w:id="96"/>
      <w:bookmarkEnd w:id="97"/>
      <w:bookmarkEnd w:id="98"/>
      <w:bookmarkEnd w:id="99"/>
    </w:p>
    <w:p w14:paraId="35ABD4F8">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sz w:val="32"/>
          <w:szCs w:val="32"/>
        </w:rPr>
      </w:pPr>
      <w:bookmarkStart w:id="100" w:name="_Toc24067"/>
      <w:bookmarkStart w:id="101" w:name="_Toc361508627"/>
      <w:bookmarkStart w:id="102" w:name="_Toc384308252"/>
      <w:bookmarkStart w:id="103" w:name="_Toc144974536"/>
      <w:bookmarkStart w:id="104" w:name="_Toc152045568"/>
      <w:bookmarkStart w:id="105" w:name="_Toc152042344"/>
      <w:bookmarkStart w:id="106" w:name="_Toc247527593"/>
      <w:bookmarkStart w:id="107" w:name="_Toc300834991"/>
      <w:bookmarkStart w:id="108" w:name="_Toc247513992"/>
      <w:r>
        <w:rPr>
          <w:rFonts w:hint="eastAsia" w:ascii="仿宋" w:hAnsi="仿宋" w:eastAsia="仿宋" w:cs="仿宋"/>
          <w:sz w:val="32"/>
          <w:szCs w:val="32"/>
        </w:rPr>
        <w:t>1.采购人和成交供应商应当在响应有效期内，且在收到成交通知之日起</w:t>
      </w:r>
      <w:bookmarkStart w:id="109" w:name="_Toc247527589"/>
      <w:bookmarkStart w:id="110" w:name="_Toc369531553"/>
      <w:bookmarkStart w:id="111" w:name="_Toc152042340"/>
      <w:bookmarkStart w:id="112" w:name="_Toc384308247"/>
      <w:bookmarkStart w:id="113" w:name="_Toc4656"/>
      <w:bookmarkStart w:id="114" w:name="_Toc152045564"/>
      <w:bookmarkStart w:id="115" w:name="_Toc247513988"/>
      <w:bookmarkStart w:id="116" w:name="_Toc300834986"/>
      <w:bookmarkStart w:id="117" w:name="_Toc144974532"/>
      <w:bookmarkStart w:id="118" w:name="_Toc361508622"/>
      <w:bookmarkStart w:id="119" w:name="_Toc352691509"/>
      <w:r>
        <w:rPr>
          <w:rFonts w:hint="eastAsia" w:ascii="仿宋" w:hAnsi="仿宋" w:eastAsia="仿宋" w:cs="仿宋"/>
          <w:sz w:val="32"/>
          <w:szCs w:val="32"/>
        </w:rPr>
        <w:t>7日内，根据</w:t>
      </w:r>
      <w:bookmarkEnd w:id="109"/>
      <w:bookmarkEnd w:id="110"/>
      <w:bookmarkEnd w:id="111"/>
      <w:bookmarkEnd w:id="112"/>
      <w:bookmarkEnd w:id="113"/>
      <w:bookmarkEnd w:id="114"/>
      <w:bookmarkEnd w:id="115"/>
      <w:bookmarkEnd w:id="116"/>
      <w:bookmarkEnd w:id="117"/>
      <w:bookmarkEnd w:id="118"/>
      <w:bookmarkEnd w:id="119"/>
      <w:r>
        <w:rPr>
          <w:rFonts w:hint="eastAsia" w:ascii="仿宋" w:hAnsi="仿宋" w:eastAsia="仿宋" w:cs="仿宋"/>
          <w:sz w:val="32"/>
          <w:szCs w:val="32"/>
        </w:rPr>
        <w:t>询比采购文件和成交人的响应文件订立书面合同。成交人无正</w:t>
      </w:r>
      <w:bookmarkStart w:id="120" w:name="_Toc300834987"/>
      <w:bookmarkStart w:id="121" w:name="_Toc152042341"/>
      <w:bookmarkStart w:id="122" w:name="_Toc384308248"/>
      <w:bookmarkStart w:id="123" w:name="_Toc247513989"/>
      <w:bookmarkStart w:id="124" w:name="_Toc361508623"/>
      <w:bookmarkStart w:id="125" w:name="_Toc152045565"/>
      <w:bookmarkStart w:id="126" w:name="_Toc247527590"/>
      <w:bookmarkStart w:id="127" w:name="_Toc369531554"/>
      <w:bookmarkStart w:id="128" w:name="_Toc18247"/>
      <w:bookmarkStart w:id="129" w:name="_Toc352691510"/>
      <w:bookmarkStart w:id="130" w:name="_Toc144974533"/>
      <w:r>
        <w:rPr>
          <w:rFonts w:hint="eastAsia" w:ascii="仿宋" w:hAnsi="仿宋" w:eastAsia="仿宋" w:cs="仿宋"/>
          <w:sz w:val="32"/>
          <w:szCs w:val="32"/>
        </w:rPr>
        <w:t>当理由拒签合</w:t>
      </w:r>
      <w:bookmarkEnd w:id="120"/>
      <w:bookmarkEnd w:id="121"/>
      <w:bookmarkEnd w:id="122"/>
      <w:bookmarkEnd w:id="123"/>
      <w:bookmarkEnd w:id="124"/>
      <w:bookmarkEnd w:id="125"/>
      <w:bookmarkEnd w:id="126"/>
      <w:bookmarkEnd w:id="127"/>
      <w:bookmarkEnd w:id="128"/>
      <w:bookmarkEnd w:id="129"/>
      <w:bookmarkEnd w:id="130"/>
      <w:r>
        <w:rPr>
          <w:rFonts w:hint="eastAsia" w:ascii="仿宋" w:hAnsi="仿宋" w:eastAsia="仿宋" w:cs="仿宋"/>
          <w:sz w:val="32"/>
          <w:szCs w:val="32"/>
        </w:rPr>
        <w:t>同，或者提出其他附加条件的，采购人有权取消其成交资格，其响应保证金不予退还；给采购人造成的损失超出响应保证金数额的，成交供应商还应当对超出部分予以赔偿。</w:t>
      </w:r>
    </w:p>
    <w:p w14:paraId="39D04242">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2.发出成交通知书后，采购人无正当理由拒签合同的，或者提出其他附加条件的，采购人向成交人退还响应保证金；给成交人造成损失的，还应当赔偿损失。</w:t>
      </w:r>
    </w:p>
    <w:bookmarkEnd w:id="100"/>
    <w:bookmarkEnd w:id="101"/>
    <w:bookmarkEnd w:id="102"/>
    <w:p w14:paraId="049A3FAD">
      <w:pPr>
        <w:pStyle w:val="5"/>
        <w:keepNext w:val="0"/>
        <w:keepLines w:val="0"/>
        <w:pageBreakBefore w:val="0"/>
        <w:kinsoku/>
        <w:wordWrap/>
        <w:overflowPunct w:val="0"/>
        <w:topLinePunct w:val="0"/>
        <w:autoSpaceDE/>
        <w:autoSpaceDN/>
        <w:bidi w:val="0"/>
        <w:adjustRightInd/>
        <w:snapToGrid/>
        <w:spacing w:before="0" w:after="0" w:line="560" w:lineRule="exact"/>
        <w:ind w:left="0" w:firstLine="643" w:firstLineChars="200"/>
        <w:textAlignment w:val="auto"/>
        <w:rPr>
          <w:rFonts w:ascii="仿宋" w:hAnsi="仿宋" w:eastAsia="仿宋" w:cs="仿宋"/>
          <w:szCs w:val="32"/>
        </w:rPr>
      </w:pPr>
      <w:bookmarkStart w:id="131" w:name="_Toc25347"/>
      <w:bookmarkStart w:id="132" w:name="_Toc14752"/>
      <w:bookmarkStart w:id="133" w:name="_Toc33795815"/>
      <w:r>
        <w:rPr>
          <w:rFonts w:hint="eastAsia" w:ascii="仿宋" w:hAnsi="仿宋" w:eastAsia="仿宋" w:cs="仿宋"/>
          <w:szCs w:val="32"/>
        </w:rPr>
        <w:t>七、纪律和监督</w:t>
      </w:r>
      <w:bookmarkEnd w:id="131"/>
      <w:bookmarkEnd w:id="132"/>
      <w:bookmarkEnd w:id="133"/>
    </w:p>
    <w:p w14:paraId="37E931AE">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（一）供应商不得相互串通投标或者与采购人串通投标，不得向采购人或者评审小组成员行贿谋取成交，不得以他人名义投标或者以其他方式弄虚作假骗取成交；供应商不得以任何方式干扰、影响评标工作。</w:t>
      </w:r>
    </w:p>
    <w:p w14:paraId="72C23A99">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（二）评审小组成员及相关工作人员不得收受他人的财物或者其他好处，不得向他人透露对响应文件的评审</w:t>
      </w:r>
      <w:bookmarkStart w:id="134" w:name="_Toc384308253"/>
      <w:bookmarkStart w:id="135" w:name="_Toc352691515"/>
      <w:bookmarkStart w:id="136" w:name="_Toc361508628"/>
      <w:bookmarkStart w:id="137" w:name="_Toc369531559"/>
      <w:bookmarkStart w:id="138" w:name="_Toc13644"/>
      <w:r>
        <w:rPr>
          <w:rFonts w:hint="eastAsia" w:ascii="仿宋" w:hAnsi="仿宋" w:eastAsia="仿宋" w:cs="仿宋"/>
          <w:sz w:val="32"/>
          <w:szCs w:val="32"/>
        </w:rPr>
        <w:t>和比较、</w:t>
      </w:r>
      <w:bookmarkEnd w:id="103"/>
      <w:bookmarkEnd w:id="104"/>
      <w:bookmarkEnd w:id="105"/>
      <w:bookmarkEnd w:id="106"/>
      <w:bookmarkEnd w:id="107"/>
      <w:bookmarkEnd w:id="108"/>
      <w:bookmarkEnd w:id="134"/>
      <w:bookmarkEnd w:id="135"/>
      <w:bookmarkEnd w:id="136"/>
      <w:bookmarkEnd w:id="137"/>
      <w:bookmarkEnd w:id="138"/>
      <w:r>
        <w:rPr>
          <w:rFonts w:hint="eastAsia" w:ascii="仿宋" w:hAnsi="仿宋" w:eastAsia="仿宋" w:cs="仿宋"/>
          <w:sz w:val="32"/>
          <w:szCs w:val="32"/>
        </w:rPr>
        <w:t>成交候选人的推荐情况以及评标有关的其他情况。在评审活动中，评审小组成员应当客观、公正地履行职责，遵守职业道德，不得擅离职守，影响评审程序正常进行，不得使用“评审办法”没有规定的评审因素和标准进行评审。</w:t>
      </w:r>
    </w:p>
    <w:p w14:paraId="013945AA">
      <w:pPr>
        <w:pStyle w:val="6"/>
        <w:keepNext w:val="0"/>
        <w:keepLines w:val="0"/>
        <w:pageBreakBefore w:val="0"/>
        <w:kinsoku/>
        <w:wordWrap/>
        <w:overflowPunct w:val="0"/>
        <w:topLinePunct w:val="0"/>
        <w:autoSpaceDE/>
        <w:autoSpaceDN/>
        <w:bidi w:val="0"/>
        <w:adjustRightInd/>
        <w:snapToGrid/>
        <w:spacing w:before="0" w:after="0" w:line="560" w:lineRule="exact"/>
        <w:ind w:left="0" w:firstLine="640" w:firstLineChars="200"/>
        <w:textAlignment w:val="auto"/>
        <w:rPr>
          <w:rFonts w:ascii="仿宋" w:hAnsi="仿宋" w:eastAsia="仿宋" w:cs="仿宋"/>
          <w:sz w:val="32"/>
          <w:szCs w:val="32"/>
        </w:rPr>
      </w:pPr>
      <w:bookmarkStart w:id="139" w:name="_Toc24957"/>
      <w:bookmarkStart w:id="140" w:name="_Toc22294"/>
      <w:bookmarkStart w:id="141" w:name="_Toc18070"/>
      <w:bookmarkStart w:id="142" w:name="_Toc33795820"/>
      <w:r>
        <w:rPr>
          <w:rFonts w:hint="eastAsia" w:ascii="仿宋" w:hAnsi="仿宋" w:eastAsia="仿宋" w:cs="仿宋"/>
          <w:sz w:val="32"/>
          <w:szCs w:val="32"/>
        </w:rPr>
        <w:t>（三）异议</w:t>
      </w:r>
      <w:bookmarkEnd w:id="139"/>
      <w:bookmarkEnd w:id="140"/>
      <w:bookmarkEnd w:id="141"/>
      <w:bookmarkEnd w:id="142"/>
    </w:p>
    <w:p w14:paraId="22591F27">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kern w:val="0"/>
          <w:sz w:val="32"/>
          <w:szCs w:val="32"/>
        </w:rPr>
      </w:pPr>
      <w:r>
        <w:rPr>
          <w:rFonts w:hint="eastAsia" w:ascii="仿宋" w:hAnsi="仿宋" w:eastAsia="仿宋" w:cs="仿宋"/>
          <w:kern w:val="0"/>
          <w:sz w:val="32"/>
          <w:szCs w:val="32"/>
        </w:rPr>
        <w:t>1.供应商或者其他利害关系人认为采购人采购活动存在违法或违反平等自愿、公平诚信原则的，可以直接向采购人单位招标办公室提出异议。</w:t>
      </w:r>
    </w:p>
    <w:p w14:paraId="4FC8EE05">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kern w:val="0"/>
          <w:sz w:val="32"/>
          <w:szCs w:val="32"/>
        </w:rPr>
      </w:pPr>
      <w:r>
        <w:rPr>
          <w:rFonts w:hint="eastAsia" w:ascii="仿宋" w:hAnsi="仿宋" w:eastAsia="仿宋" w:cs="仿宋"/>
          <w:kern w:val="0"/>
          <w:sz w:val="32"/>
          <w:szCs w:val="32"/>
        </w:rPr>
        <w:t xml:space="preserve">2.招标办收到供应商提出的异议，应当依法、依规、妥善处理异议，并在收到异议之日起三个工作日内，对异议提出人做出答复。答复前，可暂停下一程序的采购活动。 </w:t>
      </w:r>
    </w:p>
    <w:p w14:paraId="2282EE4A">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kern w:val="0"/>
          <w:sz w:val="32"/>
          <w:szCs w:val="32"/>
        </w:rPr>
        <w:t xml:space="preserve">3.对响应采购供应商提出的异议，如属异议提出人对相关问题理解有误的，招标办应做出解释；如经核查发现采购活动确实存在违法或违反本办法相关规定的，招标办应及时予以纠正或补救。       </w:t>
      </w:r>
    </w:p>
    <w:p w14:paraId="4C37EC22">
      <w:pPr>
        <w:keepNext w:val="0"/>
        <w:keepLines w:val="0"/>
        <w:pageBreakBefore w:val="0"/>
        <w:kinsoku/>
        <w:wordWrap/>
        <w:overflowPunct w:val="0"/>
        <w:topLinePunct w:val="0"/>
        <w:autoSpaceDE/>
        <w:autoSpaceDN/>
        <w:bidi w:val="0"/>
        <w:adjustRightInd/>
        <w:snapToGrid/>
        <w:spacing w:line="560" w:lineRule="exact"/>
        <w:ind w:left="0" w:firstLine="4160" w:firstLineChars="1300"/>
        <w:textAlignment w:val="auto"/>
        <w:rPr>
          <w:rFonts w:hint="eastAsia" w:ascii="仿宋" w:hAnsi="仿宋" w:eastAsia="仿宋" w:cs="仿宋"/>
          <w:sz w:val="32"/>
          <w:szCs w:val="32"/>
        </w:rPr>
      </w:pPr>
    </w:p>
    <w:p w14:paraId="1C548BFF">
      <w:pPr>
        <w:keepNext w:val="0"/>
        <w:keepLines w:val="0"/>
        <w:pageBreakBefore w:val="0"/>
        <w:kinsoku/>
        <w:wordWrap/>
        <w:overflowPunct w:val="0"/>
        <w:topLinePunct w:val="0"/>
        <w:autoSpaceDE/>
        <w:autoSpaceDN/>
        <w:bidi w:val="0"/>
        <w:adjustRightInd/>
        <w:snapToGrid/>
        <w:spacing w:line="560" w:lineRule="exact"/>
        <w:ind w:left="0" w:firstLine="4160" w:firstLineChars="1300"/>
        <w:textAlignment w:val="auto"/>
        <w:rPr>
          <w:rFonts w:hint="eastAsia" w:ascii="仿宋" w:hAnsi="仿宋" w:eastAsia="仿宋" w:cs="仿宋"/>
          <w:sz w:val="32"/>
          <w:szCs w:val="32"/>
        </w:rPr>
      </w:pPr>
    </w:p>
    <w:p w14:paraId="6BB3D603">
      <w:pPr>
        <w:keepNext w:val="0"/>
        <w:keepLines w:val="0"/>
        <w:pageBreakBefore w:val="0"/>
        <w:kinsoku/>
        <w:wordWrap/>
        <w:overflowPunct w:val="0"/>
        <w:topLinePunct w:val="0"/>
        <w:autoSpaceDE/>
        <w:autoSpaceDN/>
        <w:bidi w:val="0"/>
        <w:adjustRightInd/>
        <w:snapToGrid/>
        <w:spacing w:line="560" w:lineRule="exact"/>
        <w:ind w:left="0" w:firstLine="4160" w:firstLineChars="1300"/>
        <w:textAlignment w:val="auto"/>
        <w:rPr>
          <w:rFonts w:ascii="仿宋" w:hAnsi="仿宋" w:eastAsia="仿宋" w:cs="仿宋"/>
          <w:sz w:val="32"/>
          <w:szCs w:val="32"/>
        </w:rPr>
      </w:pPr>
      <w:r>
        <w:rPr>
          <w:rFonts w:hint="eastAsia" w:ascii="仿宋" w:hAnsi="仿宋" w:eastAsia="仿宋" w:cs="仿宋"/>
          <w:sz w:val="32"/>
          <w:szCs w:val="32"/>
        </w:rPr>
        <w:t>陕西锌业有限公司</w:t>
      </w:r>
    </w:p>
    <w:p w14:paraId="55000ECA">
      <w:pPr>
        <w:keepNext w:val="0"/>
        <w:keepLines w:val="0"/>
        <w:pageBreakBefore w:val="0"/>
        <w:kinsoku/>
        <w:wordWrap/>
        <w:overflowPunct w:val="0"/>
        <w:topLinePunct w:val="0"/>
        <w:autoSpaceDE/>
        <w:autoSpaceDN/>
        <w:bidi w:val="0"/>
        <w:adjustRightInd/>
        <w:snapToGrid/>
        <w:spacing w:line="560" w:lineRule="exact"/>
        <w:ind w:left="0" w:firstLine="4160" w:firstLineChars="1300"/>
        <w:textAlignment w:val="auto"/>
      </w:pPr>
      <w:r>
        <w:rPr>
          <w:rFonts w:hint="eastAsia" w:ascii="仿宋" w:hAnsi="仿宋" w:eastAsia="仿宋" w:cs="仿宋"/>
          <w:sz w:val="32"/>
          <w:szCs w:val="32"/>
        </w:rPr>
        <w:t>202</w:t>
      </w:r>
      <w:r>
        <w:rPr>
          <w:rFonts w:hint="eastAsia" w:ascii="仿宋" w:hAnsi="仿宋" w:eastAsia="仿宋" w:cs="仿宋"/>
          <w:sz w:val="32"/>
          <w:szCs w:val="32"/>
          <w:lang w:val="en-US" w:eastAsia="zh-CN"/>
        </w:rPr>
        <w:t>6</w:t>
      </w:r>
      <w:r>
        <w:rPr>
          <w:rFonts w:hint="eastAsia" w:ascii="仿宋" w:hAnsi="仿宋" w:eastAsia="仿宋" w:cs="仿宋"/>
          <w:sz w:val="32"/>
          <w:szCs w:val="32"/>
        </w:rPr>
        <w:t>年</w:t>
      </w:r>
      <w:r>
        <w:rPr>
          <w:rFonts w:hint="eastAsia" w:ascii="仿宋" w:hAnsi="仿宋" w:eastAsia="仿宋" w:cs="仿宋"/>
          <w:sz w:val="32"/>
          <w:szCs w:val="32"/>
          <w:lang w:val="en-US" w:eastAsia="zh-CN"/>
        </w:rPr>
        <w:t>2</w:t>
      </w:r>
      <w:r>
        <w:rPr>
          <w:rFonts w:hint="eastAsia" w:ascii="仿宋" w:hAnsi="仿宋" w:eastAsia="仿宋" w:cs="仿宋"/>
          <w:sz w:val="32"/>
          <w:szCs w:val="32"/>
        </w:rPr>
        <w:t>月</w:t>
      </w:r>
      <w:r>
        <w:rPr>
          <w:rFonts w:hint="eastAsia" w:ascii="仿宋" w:hAnsi="仿宋" w:eastAsia="仿宋" w:cs="仿宋"/>
          <w:sz w:val="32"/>
          <w:szCs w:val="32"/>
          <w:lang w:val="en-US" w:eastAsia="zh-CN"/>
        </w:rPr>
        <w:t>6</w:t>
      </w:r>
      <w:r>
        <w:rPr>
          <w:rFonts w:hint="eastAsia" w:ascii="仿宋" w:hAnsi="仿宋" w:eastAsia="仿宋" w:cs="仿宋"/>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A5F3A83-A881-4F6F-9074-84D1A4F5940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embedRegular r:id="rId2" w:fontKey="{899A7291-FEFB-4D22-AA4E-2293E3188086}"/>
  </w:font>
  <w:font w:name="微软雅黑">
    <w:panose1 w:val="020B0503020204020204"/>
    <w:charset w:val="86"/>
    <w:family w:val="swiss"/>
    <w:pitch w:val="default"/>
    <w:sig w:usb0="80000287" w:usb1="2ACF3C50" w:usb2="00000016" w:usb3="00000000" w:csb0="0004001F" w:csb1="00000000"/>
    <w:embedRegular r:id="rId3" w:fontKey="{535A6BCF-B6F7-42D4-B622-B5BE77F2349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B6785E">
    <w:pPr>
      <w:pStyle w:val="17"/>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5A1362E">
                          <w:pPr>
                            <w:pStyle w:val="8"/>
                          </w:pPr>
                          <w:r>
                            <w:fldChar w:fldCharType="begin"/>
                          </w:r>
                          <w:r>
                            <w:instrText xml:space="preserve"> PAGE  \* MERGEFORMAT </w:instrText>
                          </w:r>
                          <w:r>
                            <w:fldChar w:fldCharType="separate"/>
                          </w:r>
                          <w:r>
                            <w:t>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14:paraId="05A1362E">
                    <w:pPr>
                      <w:pStyle w:val="8"/>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3C8385">
    <w:pPr>
      <w:pStyle w:val="22"/>
      <w:framePr w:wrap="around" w:vAnchor="text" w:hAnchor="margin" w:xAlign="center" w:y="1"/>
      <w:rPr>
        <w:rStyle w:val="23"/>
      </w:rPr>
    </w:pPr>
    <w:r>
      <w:rPr>
        <w:rStyle w:val="23"/>
      </w:rPr>
      <w:fldChar w:fldCharType="begin"/>
    </w:r>
    <w:r>
      <w:rPr>
        <w:rStyle w:val="23"/>
      </w:rPr>
      <w:instrText xml:space="preserve">PAGE  </w:instrText>
    </w:r>
    <w:r>
      <w:rPr>
        <w:rStyle w:val="23"/>
      </w:rPr>
      <w:fldChar w:fldCharType="end"/>
    </w:r>
  </w:p>
  <w:p w14:paraId="1F3F0202">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2FE7E0">
    <w:pPr>
      <w:pStyle w:val="2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072A32"/>
    <w:rsid w:val="0025669D"/>
    <w:rsid w:val="002D2B1C"/>
    <w:rsid w:val="003A702E"/>
    <w:rsid w:val="003E393F"/>
    <w:rsid w:val="004274B2"/>
    <w:rsid w:val="0045046F"/>
    <w:rsid w:val="004A112A"/>
    <w:rsid w:val="005011EB"/>
    <w:rsid w:val="00715BA8"/>
    <w:rsid w:val="007802B9"/>
    <w:rsid w:val="00A35E3E"/>
    <w:rsid w:val="00A96D5B"/>
    <w:rsid w:val="00B344BD"/>
    <w:rsid w:val="00C82362"/>
    <w:rsid w:val="00CA5FF1"/>
    <w:rsid w:val="00CB6297"/>
    <w:rsid w:val="00DB462D"/>
    <w:rsid w:val="00EA1F15"/>
    <w:rsid w:val="00F07444"/>
    <w:rsid w:val="00FA7DE4"/>
    <w:rsid w:val="01251650"/>
    <w:rsid w:val="01A67659"/>
    <w:rsid w:val="023E2922"/>
    <w:rsid w:val="026A1189"/>
    <w:rsid w:val="040D7FEA"/>
    <w:rsid w:val="04683B1B"/>
    <w:rsid w:val="04A863CB"/>
    <w:rsid w:val="051379D8"/>
    <w:rsid w:val="05814B03"/>
    <w:rsid w:val="05BE40FB"/>
    <w:rsid w:val="05EB4101"/>
    <w:rsid w:val="06141C07"/>
    <w:rsid w:val="076A5F83"/>
    <w:rsid w:val="07720B9B"/>
    <w:rsid w:val="083245C7"/>
    <w:rsid w:val="08D00E36"/>
    <w:rsid w:val="09371E95"/>
    <w:rsid w:val="09ED4C49"/>
    <w:rsid w:val="0AA3355A"/>
    <w:rsid w:val="0B0A4D8C"/>
    <w:rsid w:val="0CAF4DC4"/>
    <w:rsid w:val="0E2D7D0A"/>
    <w:rsid w:val="0F957915"/>
    <w:rsid w:val="102F1EF5"/>
    <w:rsid w:val="106F0166"/>
    <w:rsid w:val="10C304B2"/>
    <w:rsid w:val="114161E7"/>
    <w:rsid w:val="120B7959"/>
    <w:rsid w:val="130628D8"/>
    <w:rsid w:val="134C0C32"/>
    <w:rsid w:val="14F74BCE"/>
    <w:rsid w:val="14F90946"/>
    <w:rsid w:val="14FD19B0"/>
    <w:rsid w:val="15350822"/>
    <w:rsid w:val="16B84434"/>
    <w:rsid w:val="17725CE9"/>
    <w:rsid w:val="19B65298"/>
    <w:rsid w:val="19BF0744"/>
    <w:rsid w:val="19BF485E"/>
    <w:rsid w:val="19D61256"/>
    <w:rsid w:val="19EF056A"/>
    <w:rsid w:val="1A9F3D3E"/>
    <w:rsid w:val="1AEC4493"/>
    <w:rsid w:val="1B177D78"/>
    <w:rsid w:val="1D347AA3"/>
    <w:rsid w:val="1DA8115B"/>
    <w:rsid w:val="1DB27CC5"/>
    <w:rsid w:val="1DCE4DDD"/>
    <w:rsid w:val="1DD30B53"/>
    <w:rsid w:val="1E1E31CB"/>
    <w:rsid w:val="1E34479D"/>
    <w:rsid w:val="207E073E"/>
    <w:rsid w:val="214D3F8A"/>
    <w:rsid w:val="21834158"/>
    <w:rsid w:val="220426D8"/>
    <w:rsid w:val="22F5715A"/>
    <w:rsid w:val="241430A6"/>
    <w:rsid w:val="2452597D"/>
    <w:rsid w:val="257B5469"/>
    <w:rsid w:val="257B685F"/>
    <w:rsid w:val="27503782"/>
    <w:rsid w:val="27CC3C98"/>
    <w:rsid w:val="29447604"/>
    <w:rsid w:val="297D7484"/>
    <w:rsid w:val="2A2E0C3A"/>
    <w:rsid w:val="2A4B3DED"/>
    <w:rsid w:val="2BF61145"/>
    <w:rsid w:val="2BF72AD0"/>
    <w:rsid w:val="2C8965FC"/>
    <w:rsid w:val="2CAD4098"/>
    <w:rsid w:val="2D331C6F"/>
    <w:rsid w:val="2DE05E9B"/>
    <w:rsid w:val="2E033918"/>
    <w:rsid w:val="2EA4771D"/>
    <w:rsid w:val="2F1D1954"/>
    <w:rsid w:val="2FA449DF"/>
    <w:rsid w:val="3049057C"/>
    <w:rsid w:val="31832E12"/>
    <w:rsid w:val="32A1627D"/>
    <w:rsid w:val="33260700"/>
    <w:rsid w:val="333C7F24"/>
    <w:rsid w:val="333D3C9C"/>
    <w:rsid w:val="339B5162"/>
    <w:rsid w:val="34DF16EF"/>
    <w:rsid w:val="351729F7"/>
    <w:rsid w:val="354E1250"/>
    <w:rsid w:val="358E6037"/>
    <w:rsid w:val="36366121"/>
    <w:rsid w:val="37991DE9"/>
    <w:rsid w:val="38A94AC6"/>
    <w:rsid w:val="38C369F1"/>
    <w:rsid w:val="39974106"/>
    <w:rsid w:val="3A3A65D2"/>
    <w:rsid w:val="3A561988"/>
    <w:rsid w:val="3B936B4F"/>
    <w:rsid w:val="3BEB0739"/>
    <w:rsid w:val="3BFF184D"/>
    <w:rsid w:val="3CB63F34"/>
    <w:rsid w:val="3CEB6517"/>
    <w:rsid w:val="3CFB6595"/>
    <w:rsid w:val="3CFD6BB7"/>
    <w:rsid w:val="3D34475C"/>
    <w:rsid w:val="3E3C01FF"/>
    <w:rsid w:val="3F2D1BEF"/>
    <w:rsid w:val="3FE9293F"/>
    <w:rsid w:val="405A4224"/>
    <w:rsid w:val="427A5715"/>
    <w:rsid w:val="43122A4F"/>
    <w:rsid w:val="433C5D1E"/>
    <w:rsid w:val="44093E52"/>
    <w:rsid w:val="440E76BA"/>
    <w:rsid w:val="44107006"/>
    <w:rsid w:val="44920CB0"/>
    <w:rsid w:val="45726E52"/>
    <w:rsid w:val="45A00D58"/>
    <w:rsid w:val="460F14C8"/>
    <w:rsid w:val="46637C62"/>
    <w:rsid w:val="46933C70"/>
    <w:rsid w:val="46947AF8"/>
    <w:rsid w:val="485F64AC"/>
    <w:rsid w:val="4A721CE5"/>
    <w:rsid w:val="4B896DF6"/>
    <w:rsid w:val="4CB27A82"/>
    <w:rsid w:val="4CD03E45"/>
    <w:rsid w:val="4D66647C"/>
    <w:rsid w:val="4D997BCF"/>
    <w:rsid w:val="4E6B74B7"/>
    <w:rsid w:val="4F18763F"/>
    <w:rsid w:val="4F2D1733"/>
    <w:rsid w:val="500261D8"/>
    <w:rsid w:val="50610B72"/>
    <w:rsid w:val="509B2FD7"/>
    <w:rsid w:val="51D376E3"/>
    <w:rsid w:val="523676EA"/>
    <w:rsid w:val="524F1A19"/>
    <w:rsid w:val="5300717F"/>
    <w:rsid w:val="54134879"/>
    <w:rsid w:val="54EB7CA8"/>
    <w:rsid w:val="559B4B26"/>
    <w:rsid w:val="55EF7BB3"/>
    <w:rsid w:val="55F20E2B"/>
    <w:rsid w:val="56737851"/>
    <w:rsid w:val="5680683F"/>
    <w:rsid w:val="56CD5663"/>
    <w:rsid w:val="56F815DC"/>
    <w:rsid w:val="57711FE2"/>
    <w:rsid w:val="59907EED"/>
    <w:rsid w:val="5A171C7F"/>
    <w:rsid w:val="5A626FE9"/>
    <w:rsid w:val="5A715E56"/>
    <w:rsid w:val="5B920779"/>
    <w:rsid w:val="5B97061C"/>
    <w:rsid w:val="5C02145B"/>
    <w:rsid w:val="5C2B04AE"/>
    <w:rsid w:val="5C594DF3"/>
    <w:rsid w:val="5D042FB1"/>
    <w:rsid w:val="5DA87DE0"/>
    <w:rsid w:val="5DCA09A3"/>
    <w:rsid w:val="5E8D407E"/>
    <w:rsid w:val="5F213A10"/>
    <w:rsid w:val="5F832D98"/>
    <w:rsid w:val="5F8C5DB5"/>
    <w:rsid w:val="602C2F4B"/>
    <w:rsid w:val="6039337D"/>
    <w:rsid w:val="60675D3C"/>
    <w:rsid w:val="6077565B"/>
    <w:rsid w:val="60B161B4"/>
    <w:rsid w:val="60C97FB7"/>
    <w:rsid w:val="61137C66"/>
    <w:rsid w:val="61483E9A"/>
    <w:rsid w:val="61D92AF5"/>
    <w:rsid w:val="61FC4B9F"/>
    <w:rsid w:val="62A72D5C"/>
    <w:rsid w:val="62F23D84"/>
    <w:rsid w:val="6483301F"/>
    <w:rsid w:val="64B22605"/>
    <w:rsid w:val="661E50E3"/>
    <w:rsid w:val="66452F0C"/>
    <w:rsid w:val="66525B0B"/>
    <w:rsid w:val="6667362D"/>
    <w:rsid w:val="66945311"/>
    <w:rsid w:val="671D4BFD"/>
    <w:rsid w:val="672C3830"/>
    <w:rsid w:val="67682688"/>
    <w:rsid w:val="68365066"/>
    <w:rsid w:val="68FE0F77"/>
    <w:rsid w:val="69495ABC"/>
    <w:rsid w:val="696F20FA"/>
    <w:rsid w:val="69B729ED"/>
    <w:rsid w:val="69E314DA"/>
    <w:rsid w:val="69F446AA"/>
    <w:rsid w:val="6A445335"/>
    <w:rsid w:val="6BD87931"/>
    <w:rsid w:val="6C2347F8"/>
    <w:rsid w:val="6CCD1611"/>
    <w:rsid w:val="6CE26D5D"/>
    <w:rsid w:val="6DB30807"/>
    <w:rsid w:val="6DE50BDD"/>
    <w:rsid w:val="6E4D6AAA"/>
    <w:rsid w:val="6E880895"/>
    <w:rsid w:val="6EB42AC4"/>
    <w:rsid w:val="6F4D07E7"/>
    <w:rsid w:val="6F71097A"/>
    <w:rsid w:val="7015517E"/>
    <w:rsid w:val="703561B0"/>
    <w:rsid w:val="70626755"/>
    <w:rsid w:val="707458D8"/>
    <w:rsid w:val="72E3289C"/>
    <w:rsid w:val="7330410A"/>
    <w:rsid w:val="736305DA"/>
    <w:rsid w:val="74F87447"/>
    <w:rsid w:val="7530098F"/>
    <w:rsid w:val="762F50EB"/>
    <w:rsid w:val="76987E92"/>
    <w:rsid w:val="779B6409"/>
    <w:rsid w:val="7C556F2D"/>
    <w:rsid w:val="7C6E0553"/>
    <w:rsid w:val="7CC15652"/>
    <w:rsid w:val="7CD34892"/>
    <w:rsid w:val="7D8E0949"/>
    <w:rsid w:val="7F06435D"/>
    <w:rsid w:val="7F0C4B4C"/>
    <w:rsid w:val="7F0D7F93"/>
    <w:rsid w:val="7F442849"/>
    <w:rsid w:val="7F78540D"/>
    <w:rsid w:val="7FBB179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5">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6">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paragraph" w:styleId="2">
    <w:name w:val="heading 4"/>
    <w:basedOn w:val="1"/>
    <w:next w:val="3"/>
    <w:qFormat/>
    <w:uiPriority w:val="0"/>
    <w:pPr>
      <w:keepNext/>
      <w:keepLines/>
      <w:tabs>
        <w:tab w:val="left" w:pos="992"/>
      </w:tabs>
      <w:adjustRightInd w:val="0"/>
      <w:spacing w:before="280" w:beforeLines="0" w:after="290" w:afterLines="0" w:line="376" w:lineRule="atLeast"/>
      <w:ind w:left="992" w:hanging="992"/>
      <w:jc w:val="left"/>
      <w:textAlignment w:val="baseline"/>
      <w:outlineLvl w:val="3"/>
    </w:pPr>
    <w:rPr>
      <w:rFonts w:ascii="Arial" w:hAnsi="Arial" w:eastAsia="黑体"/>
      <w:b/>
      <w:sz w:val="28"/>
      <w:szCs w:val="2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rPr>
  </w:style>
  <w:style w:type="paragraph" w:styleId="7">
    <w:name w:val="Body Text Indent"/>
    <w:basedOn w:val="1"/>
    <w:qFormat/>
    <w:uiPriority w:val="0"/>
    <w:pPr>
      <w:spacing w:after="120"/>
      <w:ind w:left="420" w:leftChars="200"/>
    </w:pPr>
    <w:rPr>
      <w:rFonts w:ascii="Times New Roman" w:hAnsi="Times New Roman" w:eastAsia="宋体" w:cs="Times New Roman"/>
    </w:rPr>
  </w:style>
  <w:style w:type="paragraph" w:styleId="8">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9">
    <w:name w:val="header"/>
    <w:basedOn w:val="1"/>
    <w:link w:val="32"/>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rFonts w:cs="Times New Roman"/>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0"/>
    <w:rPr>
      <w:b/>
    </w:rPr>
  </w:style>
  <w:style w:type="character" w:styleId="15">
    <w:name w:val="Hyperlink"/>
    <w:basedOn w:val="13"/>
    <w:qFormat/>
    <w:uiPriority w:val="0"/>
    <w:rPr>
      <w:color w:val="0000FF"/>
      <w:u w:val="single"/>
    </w:rPr>
  </w:style>
  <w:style w:type="paragraph" w:customStyle="1" w:styleId="16">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7">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8">
    <w:name w:val="font71"/>
    <w:basedOn w:val="13"/>
    <w:qFormat/>
    <w:uiPriority w:val="0"/>
    <w:rPr>
      <w:rFonts w:hint="eastAsia" w:ascii="宋体" w:hAnsi="宋体" w:eastAsia="宋体" w:cs="宋体"/>
      <w:b/>
      <w:bCs/>
      <w:color w:val="000000"/>
      <w:sz w:val="24"/>
      <w:szCs w:val="24"/>
      <w:u w:val="none"/>
    </w:rPr>
  </w:style>
  <w:style w:type="character" w:customStyle="1" w:styleId="19">
    <w:name w:val="font81"/>
    <w:basedOn w:val="13"/>
    <w:qFormat/>
    <w:uiPriority w:val="0"/>
    <w:rPr>
      <w:rFonts w:hint="eastAsia" w:ascii="宋体" w:hAnsi="宋体" w:eastAsia="宋体" w:cs="宋体"/>
      <w:color w:val="000000"/>
      <w:sz w:val="24"/>
      <w:szCs w:val="24"/>
      <w:u w:val="none"/>
    </w:rPr>
  </w:style>
  <w:style w:type="character" w:customStyle="1" w:styleId="20">
    <w:name w:val="font91"/>
    <w:basedOn w:val="13"/>
    <w:qFormat/>
    <w:uiPriority w:val="0"/>
    <w:rPr>
      <w:rFonts w:hint="eastAsia" w:ascii="宋体" w:hAnsi="宋体" w:eastAsia="宋体" w:cs="宋体"/>
      <w:color w:val="000000"/>
      <w:sz w:val="21"/>
      <w:szCs w:val="21"/>
      <w:u w:val="none"/>
    </w:rPr>
  </w:style>
  <w:style w:type="paragraph" w:customStyle="1" w:styleId="21">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2">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3">
    <w:name w:val="Page Number1"/>
    <w:basedOn w:val="13"/>
    <w:qFormat/>
    <w:uiPriority w:val="0"/>
    <w:rPr>
      <w:rFonts w:ascii="Times New Roman" w:hAnsi="Times New Roman" w:eastAsia="宋体" w:cs="Times New Roman"/>
    </w:rPr>
  </w:style>
  <w:style w:type="character" w:customStyle="1" w:styleId="24">
    <w:name w:val="font21"/>
    <w:basedOn w:val="13"/>
    <w:qFormat/>
    <w:uiPriority w:val="0"/>
    <w:rPr>
      <w:rFonts w:hint="eastAsia" w:ascii="仿宋" w:hAnsi="仿宋" w:eastAsia="仿宋" w:cs="仿宋"/>
      <w:color w:val="FF0000"/>
      <w:sz w:val="24"/>
      <w:szCs w:val="24"/>
      <w:u w:val="none"/>
    </w:rPr>
  </w:style>
  <w:style w:type="character" w:customStyle="1" w:styleId="25">
    <w:name w:val="font01"/>
    <w:basedOn w:val="13"/>
    <w:qFormat/>
    <w:uiPriority w:val="0"/>
    <w:rPr>
      <w:rFonts w:hint="eastAsia" w:ascii="宋体" w:hAnsi="宋体" w:eastAsia="宋体" w:cs="宋体"/>
      <w:color w:val="000000"/>
      <w:sz w:val="24"/>
      <w:szCs w:val="24"/>
      <w:u w:val="none"/>
    </w:rPr>
  </w:style>
  <w:style w:type="character" w:customStyle="1" w:styleId="26">
    <w:name w:val="font11"/>
    <w:basedOn w:val="13"/>
    <w:qFormat/>
    <w:uiPriority w:val="0"/>
    <w:rPr>
      <w:rFonts w:hint="eastAsia" w:ascii="仿宋" w:hAnsi="仿宋" w:eastAsia="仿宋" w:cs="仿宋"/>
      <w:color w:val="000000"/>
      <w:sz w:val="24"/>
      <w:szCs w:val="24"/>
      <w:u w:val="none"/>
    </w:rPr>
  </w:style>
  <w:style w:type="character" w:customStyle="1" w:styleId="27">
    <w:name w:val="font31"/>
    <w:basedOn w:val="13"/>
    <w:qFormat/>
    <w:uiPriority w:val="0"/>
    <w:rPr>
      <w:rFonts w:hint="eastAsia" w:ascii="仿宋" w:hAnsi="仿宋" w:eastAsia="仿宋" w:cs="仿宋"/>
      <w:color w:val="000000"/>
      <w:sz w:val="24"/>
      <w:szCs w:val="24"/>
      <w:u w:val="none"/>
    </w:rPr>
  </w:style>
  <w:style w:type="character" w:customStyle="1" w:styleId="28">
    <w:name w:val="font41"/>
    <w:basedOn w:val="13"/>
    <w:qFormat/>
    <w:uiPriority w:val="0"/>
    <w:rPr>
      <w:rFonts w:hint="eastAsia" w:ascii="仿宋" w:hAnsi="仿宋" w:eastAsia="仿宋" w:cs="仿宋"/>
      <w:color w:val="FF0000"/>
      <w:sz w:val="24"/>
      <w:szCs w:val="24"/>
      <w:u w:val="none"/>
    </w:rPr>
  </w:style>
  <w:style w:type="paragraph" w:customStyle="1" w:styleId="29">
    <w:name w:val="Table Text"/>
    <w:basedOn w:val="1"/>
    <w:semiHidden/>
    <w:qFormat/>
    <w:uiPriority w:val="0"/>
    <w:rPr>
      <w:rFonts w:ascii="宋体" w:hAnsi="宋体" w:eastAsia="宋体" w:cs="宋体"/>
      <w:sz w:val="24"/>
      <w:lang w:eastAsia="en-US"/>
    </w:rPr>
  </w:style>
  <w:style w:type="table" w:customStyle="1" w:styleId="30">
    <w:name w:val="Table Normal"/>
    <w:unhideWhenUsed/>
    <w:qFormat/>
    <w:uiPriority w:val="0"/>
    <w:tblPr>
      <w:tblCellMar>
        <w:top w:w="0" w:type="dxa"/>
        <w:left w:w="0" w:type="dxa"/>
        <w:bottom w:w="0" w:type="dxa"/>
        <w:right w:w="0" w:type="dxa"/>
      </w:tblCellMar>
    </w:tblPr>
  </w:style>
  <w:style w:type="paragraph" w:styleId="31">
    <w:name w:val="List Paragraph"/>
    <w:basedOn w:val="1"/>
    <w:qFormat/>
    <w:uiPriority w:val="34"/>
    <w:pPr>
      <w:ind w:firstLine="420" w:firstLineChars="200"/>
    </w:pPr>
  </w:style>
  <w:style w:type="character" w:customStyle="1" w:styleId="32">
    <w:name w:val="页眉 Char"/>
    <w:basedOn w:val="13"/>
    <w:link w:val="9"/>
    <w:qFormat/>
    <w:uiPriority w:val="0"/>
    <w:rPr>
      <w:rFonts w:asciiTheme="minorHAnsi" w:hAnsiTheme="minorHAnsi" w:eastAsiaTheme="minorEastAsia" w:cstheme="minorBidi"/>
      <w:kern w:val="2"/>
      <w:sz w:val="18"/>
      <w:szCs w:val="18"/>
    </w:rPr>
  </w:style>
  <w:style w:type="paragraph" w:customStyle="1" w:styleId="33">
    <w:name w:val="p0"/>
    <w:basedOn w:val="1"/>
    <w:qFormat/>
    <w:uiPriority w:val="0"/>
    <w:pPr>
      <w:widowControl/>
      <w:spacing w:line="365" w:lineRule="atLeast"/>
      <w:ind w:left="1"/>
      <w:textAlignment w:val="bottom"/>
    </w:pPr>
    <w:rPr>
      <w:rFonts w:ascii="Times New Roman" w:hAnsi="Times New Roman" w:eastAsia="宋体" w:cs="Times New Roman"/>
      <w:kern w:val="0"/>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11</Pages>
  <Words>3779</Words>
  <Characters>3966</Characters>
  <Lines>38</Lines>
  <Paragraphs>10</Paragraphs>
  <TotalTime>4</TotalTime>
  <ScaleCrop>false</ScaleCrop>
  <LinksUpToDate>false</LinksUpToDate>
  <CharactersWithSpaces>4003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冰火</cp:lastModifiedBy>
  <cp:lastPrinted>2025-11-25T06:13:00Z</cp:lastPrinted>
  <dcterms:modified xsi:type="dcterms:W3CDTF">2026-02-06T07:53:23Z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F6236FD3C6BA4C5E8DF7C37C2BA73969_13</vt:lpwstr>
  </property>
  <property fmtid="{D5CDD505-2E9C-101B-9397-08002B2CF9AE}" pid="4" name="KSOTemplateDocerSaveRecord">
    <vt:lpwstr>eyJoZGlkIjoiMTU4ZWQzZDFhZmYzYTBiMWNlZmM2NzBiNzM0NTBkZjIiLCJ1c2VySWQiOiI2MDk2NjE4MDIifQ==</vt:lpwstr>
  </property>
</Properties>
</file>